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bookmarkStart w:id="4" w:name="_GoBack"/>
      <w:bookmarkEnd w:id="4"/>
    </w:p>
    <w:p>
      <w:pPr>
        <w:jc w:val="center"/>
        <w:rPr>
          <w:rFonts w:ascii="方正小标宋简体" w:eastAsia="方正小标宋简体"/>
          <w:sz w:val="44"/>
          <w:szCs w:val="44"/>
        </w:rPr>
      </w:pPr>
      <w:r>
        <w:rPr>
          <w:rFonts w:hint="eastAsia" w:ascii="方正小标宋简体" w:eastAsia="方正小标宋简体"/>
          <w:sz w:val="44"/>
          <w:szCs w:val="44"/>
        </w:rPr>
        <w:t>部门整体支出绩效自评报告</w:t>
      </w: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left"/>
        <w:rPr>
          <w:sz w:val="32"/>
          <w:szCs w:val="32"/>
        </w:rPr>
      </w:pPr>
    </w:p>
    <w:p>
      <w:pPr>
        <w:rPr>
          <w:sz w:val="32"/>
          <w:szCs w:val="32"/>
        </w:rPr>
      </w:pPr>
    </w:p>
    <w:p>
      <w:pPr>
        <w:snapToGrid w:val="0"/>
        <w:spacing w:line="360" w:lineRule="auto"/>
        <w:rPr>
          <w:rFonts w:ascii="仿宋_GB2312" w:eastAsia="仿宋_GB2312"/>
          <w:sz w:val="32"/>
          <w:szCs w:val="32"/>
        </w:rPr>
      </w:pPr>
      <w:r>
        <w:rPr>
          <w:rFonts w:hint="eastAsia" w:ascii="仿宋_GB2312" w:eastAsia="仿宋_GB2312"/>
          <w:sz w:val="32"/>
          <w:szCs w:val="32"/>
        </w:rPr>
        <w:t>部门名称：（公章）</w:t>
      </w:r>
    </w:p>
    <w:p>
      <w:pPr>
        <w:snapToGrid w:val="0"/>
        <w:spacing w:line="360" w:lineRule="auto"/>
        <w:rPr>
          <w:rFonts w:ascii="仿宋_GB2312" w:eastAsia="仿宋_GB2312"/>
          <w:sz w:val="32"/>
          <w:szCs w:val="32"/>
        </w:rPr>
      </w:pPr>
      <w:r>
        <w:rPr>
          <w:rFonts w:hint="eastAsia" w:ascii="仿宋_GB2312" w:eastAsia="仿宋_GB2312"/>
          <w:sz w:val="32"/>
          <w:szCs w:val="32"/>
        </w:rPr>
        <w:t>预算单位数量：1</w:t>
      </w:r>
    </w:p>
    <w:p>
      <w:pPr>
        <w:snapToGrid w:val="0"/>
        <w:spacing w:line="360" w:lineRule="auto"/>
        <w:rPr>
          <w:rFonts w:ascii="仿宋_GB2312" w:eastAsia="仿宋_GB2312"/>
          <w:sz w:val="32"/>
          <w:szCs w:val="32"/>
        </w:rPr>
      </w:pPr>
      <w:r>
        <w:rPr>
          <w:rFonts w:hint="eastAsia" w:ascii="仿宋_GB2312" w:eastAsia="仿宋_GB2312"/>
          <w:sz w:val="32"/>
          <w:szCs w:val="32"/>
        </w:rPr>
        <w:t>填报人：李艳芬</w:t>
      </w:r>
    </w:p>
    <w:p>
      <w:pPr>
        <w:rPr>
          <w:rFonts w:ascii="仿宋_GB2312" w:eastAsia="仿宋_GB2312"/>
          <w:sz w:val="32"/>
          <w:szCs w:val="32"/>
        </w:rPr>
      </w:pPr>
      <w:r>
        <w:rPr>
          <w:rFonts w:hint="eastAsia" w:ascii="仿宋_GB2312" w:eastAsia="仿宋_GB2312"/>
          <w:sz w:val="32"/>
          <w:szCs w:val="32"/>
        </w:rPr>
        <w:t>联系电话：0750-6366219</w:t>
      </w:r>
    </w:p>
    <w:p>
      <w:pPr>
        <w:rPr>
          <w:sz w:val="32"/>
          <w:szCs w:val="32"/>
        </w:rPr>
      </w:pPr>
    </w:p>
    <w:p>
      <w:pPr>
        <w:rPr>
          <w:rFonts w:ascii="仿宋_GB2312" w:eastAsia="仿宋_GB2312"/>
          <w:sz w:val="32"/>
          <w:szCs w:val="32"/>
        </w:rPr>
      </w:pPr>
      <w:r>
        <w:rPr>
          <w:rFonts w:hint="eastAsia" w:ascii="仿宋_GB2312" w:eastAsia="仿宋_GB2312"/>
          <w:sz w:val="32"/>
          <w:szCs w:val="32"/>
        </w:rPr>
        <w:t>填报日期：2023年7月24日</w:t>
      </w:r>
    </w:p>
    <w:p>
      <w:pPr>
        <w:snapToGrid w:val="0"/>
        <w:spacing w:line="360" w:lineRule="auto"/>
        <w:ind w:firstLine="640" w:firstLineChars="200"/>
        <w:rPr>
          <w:rFonts w:ascii="黑体" w:hAnsi="黑体" w:eastAsia="黑体" w:cs="黑体"/>
          <w:bCs/>
          <w:sz w:val="32"/>
          <w:szCs w:val="32"/>
        </w:rPr>
      </w:pPr>
      <w:r>
        <w:rPr>
          <w:rFonts w:hint="eastAsia" w:ascii="黑体" w:hAnsi="黑体" w:eastAsia="黑体" w:cs="黑体"/>
          <w:bCs/>
          <w:sz w:val="32"/>
          <w:szCs w:val="32"/>
        </w:rPr>
        <w:t>一、部门基本情况</w:t>
      </w:r>
    </w:p>
    <w:p>
      <w:pPr>
        <w:snapToGrid w:val="0"/>
        <w:spacing w:line="360" w:lineRule="auto"/>
        <w:ind w:firstLine="643" w:firstLineChars="200"/>
        <w:rPr>
          <w:rFonts w:ascii="楷体" w:hAnsi="楷体" w:eastAsia="楷体"/>
          <w:b/>
          <w:bCs/>
          <w:color w:val="000000"/>
          <w:sz w:val="32"/>
          <w:szCs w:val="32"/>
        </w:rPr>
      </w:pPr>
      <w:r>
        <w:rPr>
          <w:rFonts w:hint="eastAsia" w:ascii="楷体" w:hAnsi="楷体" w:eastAsia="楷体"/>
          <w:b/>
          <w:bCs/>
          <w:color w:val="000000"/>
          <w:sz w:val="32"/>
          <w:szCs w:val="32"/>
        </w:rPr>
        <w:t>（一）部门职能</w:t>
      </w:r>
    </w:p>
    <w:p>
      <w:pPr>
        <w:spacing w:line="360" w:lineRule="auto"/>
        <w:ind w:firstLine="643" w:firstLineChars="200"/>
        <w:rPr>
          <w:rFonts w:cs="仿宋_GB2312" w:asciiTheme="minorEastAsia" w:hAnsiTheme="minorEastAsia" w:eastAsiaTheme="minorEastAsia"/>
          <w:sz w:val="32"/>
          <w:szCs w:val="32"/>
        </w:rPr>
      </w:pPr>
      <w:r>
        <w:rPr>
          <w:rFonts w:hint="eastAsia" w:asciiTheme="minorEastAsia" w:hAnsiTheme="minorEastAsia" w:eastAsiaTheme="minorEastAsia"/>
          <w:b/>
          <w:bCs/>
          <w:color w:val="000000"/>
          <w:sz w:val="32"/>
          <w:szCs w:val="32"/>
        </w:rPr>
        <w:t xml:space="preserve"> </w:t>
      </w:r>
      <w:r>
        <w:rPr>
          <w:rFonts w:hint="eastAsia" w:cs="仿宋_GB2312" w:asciiTheme="minorEastAsia" w:hAnsiTheme="minorEastAsia" w:eastAsiaTheme="minorEastAsia"/>
          <w:sz w:val="32"/>
          <w:szCs w:val="32"/>
        </w:rPr>
        <w:t>根据宪法和人民检察院组织法的规定，人民检察院是国家法律监督机关，履行法律监督职能。人民检察院行使下列职权：依照法律规定对有关刑事案件行使侦查权；对刑事案件进行审查，批准或者决定是否逮捕犯罪嫌疑人；对刑事案件进行审查，决定是否提起公诉，对决定提起公诉的案件支持公诉；依照法律规定提起公益诉讼；对诉讼活动实行法律监督；对判决、裁定等生效法律文书的执行工作实行法律监督；对监狱、看守所的执法活动实行法律监督；法律规定的其他职权。</w:t>
      </w:r>
    </w:p>
    <w:p>
      <w:pPr>
        <w:ind w:firstLine="640" w:firstLineChars="200"/>
        <w:rPr>
          <w:rFonts w:ascii="楷体" w:hAnsi="楷体" w:eastAsia="楷体" w:cs="仿宋_GB2312"/>
          <w:b/>
          <w:bCs/>
          <w:sz w:val="32"/>
          <w:szCs w:val="32"/>
        </w:rPr>
      </w:pPr>
      <w:r>
        <w:rPr>
          <w:rFonts w:hint="eastAsia" w:ascii="楷体" w:hAnsi="楷体" w:eastAsia="楷体"/>
          <w:sz w:val="32"/>
          <w:szCs w:val="32"/>
        </w:rPr>
        <w:t>（二）</w:t>
      </w:r>
      <w:r>
        <w:rPr>
          <w:rFonts w:hint="eastAsia" w:ascii="楷体" w:hAnsi="楷体" w:eastAsia="楷体" w:cs="仿宋_GB2312"/>
          <w:b/>
          <w:bCs/>
          <w:sz w:val="32"/>
          <w:szCs w:val="32"/>
        </w:rPr>
        <w:t>年度总体工作和重点工作任务</w:t>
      </w:r>
    </w:p>
    <w:p>
      <w:pPr>
        <w:pStyle w:val="2"/>
        <w:overflowPunct w:val="0"/>
        <w:topLinePunct/>
        <w:ind w:firstLine="640"/>
        <w:rPr>
          <w:rFonts w:cs="仿宋_GB2312" w:asciiTheme="minorEastAsia" w:hAnsiTheme="minorEastAsia" w:eastAsiaTheme="minorEastAsia"/>
          <w:szCs w:val="32"/>
        </w:rPr>
      </w:pPr>
      <w:r>
        <w:rPr>
          <w:rFonts w:hint="eastAsia" w:cs="仿宋_GB2312" w:asciiTheme="minorEastAsia" w:hAnsiTheme="minorEastAsia" w:eastAsiaTheme="minorEastAsia"/>
          <w:szCs w:val="32"/>
        </w:rPr>
        <w:t>2022年，我院在区委和上级检察机关的坚强领导下，在区人大的有力监督下，在区政府、区政协及社会各界的关心支持下，坚持以习近平新时代中国特色社会主义思想为指导，全面贯彻习近平法治思想，深入落实《中共中央关于加强新时代检察机关法律监督工作的意见》及省委《实施方案》，紧紧围绕服务保障党的二十大召开这条主线，依法能动履职、深化监督，各项工作取得了新的进展。</w:t>
      </w:r>
    </w:p>
    <w:p>
      <w:pPr>
        <w:pStyle w:val="2"/>
        <w:overflowPunct w:val="0"/>
        <w:topLinePunct/>
        <w:ind w:firstLine="595"/>
        <w:rPr>
          <w:rFonts w:ascii="方正黑体简体" w:eastAsia="方正黑体简体"/>
          <w:w w:val="96"/>
          <w:szCs w:val="32"/>
        </w:rPr>
      </w:pPr>
      <w:r>
        <w:rPr>
          <w:rFonts w:hint="eastAsia" w:ascii="方正黑体简体" w:eastAsia="方正黑体简体"/>
          <w:w w:val="93"/>
          <w:szCs w:val="32"/>
        </w:rPr>
        <w:t>一、以维护稳定为核心，全力服务保障党的二十大胜利召开</w:t>
      </w:r>
    </w:p>
    <w:p>
      <w:pPr>
        <w:spacing w:line="560" w:lineRule="exact"/>
        <w:ind w:firstLine="640" w:firstLineChars="200"/>
        <w:outlineLvl w:val="0"/>
        <w:rPr>
          <w:rFonts w:cs="仿宋_GB2312" w:asciiTheme="minorEastAsia" w:hAnsiTheme="minorEastAsia" w:eastAsiaTheme="minorEastAsia"/>
          <w:sz w:val="32"/>
          <w:szCs w:val="32"/>
        </w:rPr>
      </w:pPr>
      <w:r>
        <w:rPr>
          <w:rFonts w:hint="eastAsia" w:asciiTheme="minorEastAsia" w:hAnsiTheme="minorEastAsia" w:eastAsiaTheme="minorEastAsia"/>
          <w:sz w:val="32"/>
          <w:szCs w:val="32"/>
        </w:rPr>
        <w:t>重拳打击刑事犯罪,</w:t>
      </w:r>
      <w:r>
        <w:rPr>
          <w:rFonts w:hint="eastAsia" w:cs="仿宋_GB2312"/>
          <w:sz w:val="32"/>
          <w:szCs w:val="32"/>
        </w:rPr>
        <w:t xml:space="preserve"> 依法批捕刑事案件，从严从快打击涉疫犯罪，常态化开展扫黑除恶斗争，</w:t>
      </w:r>
      <w:r>
        <w:rPr>
          <w:rFonts w:hint="eastAsia" w:cs="仿宋_GB2312" w:asciiTheme="minorEastAsia" w:hAnsiTheme="minorEastAsia" w:eastAsiaTheme="minorEastAsia"/>
          <w:sz w:val="32"/>
          <w:szCs w:val="32"/>
        </w:rPr>
        <w:t>持续在反腐败斗争中有效发挥检察职能作用</w:t>
      </w:r>
      <w:r>
        <w:rPr>
          <w:rFonts w:hint="eastAsia" w:asciiTheme="minorEastAsia" w:hAnsiTheme="minorEastAsia" w:eastAsiaTheme="minorEastAsia"/>
          <w:sz w:val="32"/>
          <w:szCs w:val="32"/>
        </w:rPr>
        <w:t>；维护特殊群体权益，</w:t>
      </w:r>
      <w:r>
        <w:rPr>
          <w:rFonts w:hint="eastAsia" w:cs="仿宋_GB2312" w:asciiTheme="minorEastAsia" w:hAnsiTheme="minorEastAsia" w:eastAsiaTheme="minorEastAsia"/>
          <w:sz w:val="32"/>
          <w:szCs w:val="32"/>
        </w:rPr>
        <w:t>深入开展打击整治养老诈骗专项行动，开展防范诈骗宣传教育；</w:t>
      </w:r>
      <w:r>
        <w:rPr>
          <w:rFonts w:hint="eastAsia" w:asciiTheme="minorEastAsia" w:hAnsiTheme="minorEastAsia" w:eastAsiaTheme="minorEastAsia"/>
          <w:sz w:val="32"/>
          <w:szCs w:val="32"/>
        </w:rPr>
        <w:t>积极推进诉源治理，</w:t>
      </w:r>
      <w:r>
        <w:rPr>
          <w:rFonts w:hint="eastAsia" w:cs="仿宋_GB2312" w:asciiTheme="minorEastAsia" w:hAnsiTheme="minorEastAsia" w:eastAsiaTheme="minorEastAsia"/>
          <w:sz w:val="32"/>
          <w:szCs w:val="32"/>
        </w:rPr>
        <w:t>紧紧围绕党的二十大、全国“两会”、北京冬奥会等重大敏感节点，加强信访风险排查，做好安保维稳值守，依法妥善处理群众来信来访。</w:t>
      </w:r>
    </w:p>
    <w:p>
      <w:pPr>
        <w:pStyle w:val="2"/>
        <w:overflowPunct w:val="0"/>
        <w:topLinePunct/>
        <w:ind w:firstLine="608"/>
        <w:rPr>
          <w:rFonts w:ascii="方正黑体简体" w:eastAsia="方正黑体简体"/>
          <w:w w:val="95"/>
          <w:szCs w:val="32"/>
        </w:rPr>
      </w:pPr>
      <w:r>
        <w:rPr>
          <w:rFonts w:hint="eastAsia" w:ascii="方正黑体简体" w:eastAsia="方正黑体简体"/>
          <w:w w:val="95"/>
          <w:szCs w:val="32"/>
        </w:rPr>
        <w:t>二、以权益保护为目标，聚力护航新会经济社会高质量发展</w:t>
      </w:r>
    </w:p>
    <w:p>
      <w:pPr>
        <w:pStyle w:val="2"/>
        <w:overflowPunct w:val="0"/>
        <w:topLinePunct/>
        <w:ind w:firstLine="640"/>
        <w:rPr>
          <w:rFonts w:cs="仿宋_GB2312" w:asciiTheme="minorEastAsia" w:hAnsiTheme="minorEastAsia" w:eastAsiaTheme="minorEastAsia"/>
          <w:szCs w:val="32"/>
        </w:rPr>
      </w:pPr>
      <w:r>
        <w:rPr>
          <w:rFonts w:hint="eastAsia" w:asciiTheme="minorEastAsia" w:hAnsiTheme="minorEastAsia" w:eastAsiaTheme="minorEastAsia"/>
          <w:szCs w:val="32"/>
        </w:rPr>
        <w:t>强化知识产权综合保护，</w:t>
      </w:r>
      <w:r>
        <w:rPr>
          <w:rFonts w:hint="eastAsia" w:cs="仿宋_GB2312" w:asciiTheme="minorEastAsia" w:hAnsiTheme="minorEastAsia" w:eastAsiaTheme="minorEastAsia"/>
          <w:szCs w:val="32"/>
        </w:rPr>
        <w:t>完善涉知识产权检察业务集中统一办理机制，以综合履职服务保障科技创新，依法办理涉知识产权刑事案件；</w:t>
      </w:r>
      <w:r>
        <w:rPr>
          <w:rFonts w:hint="eastAsia" w:cs="楷体_GB2312" w:asciiTheme="minorEastAsia" w:hAnsiTheme="minorEastAsia" w:eastAsiaTheme="minorEastAsia"/>
          <w:szCs w:val="32"/>
        </w:rPr>
        <w:t>全面推开企业合规改革试点，</w:t>
      </w:r>
      <w:r>
        <w:rPr>
          <w:rFonts w:hint="eastAsia" w:cs="仿宋_GB2312" w:asciiTheme="minorEastAsia" w:hAnsiTheme="minorEastAsia" w:eastAsiaTheme="minorEastAsia"/>
          <w:szCs w:val="32"/>
        </w:rPr>
        <w:t>建立健全涉案企业合规第三方监督评估机制；</w:t>
      </w:r>
      <w:r>
        <w:rPr>
          <w:rFonts w:hint="eastAsia" w:cs="楷体_GB2312" w:asciiTheme="minorEastAsia" w:hAnsiTheme="minorEastAsia" w:eastAsiaTheme="minorEastAsia"/>
          <w:szCs w:val="32"/>
        </w:rPr>
        <w:t>竭力服务“侨都赋能”，</w:t>
      </w:r>
      <w:r>
        <w:rPr>
          <w:rFonts w:hint="eastAsia" w:cs="仿宋_GB2312" w:asciiTheme="minorEastAsia" w:hAnsiTheme="minorEastAsia" w:eastAsiaTheme="minorEastAsia"/>
          <w:szCs w:val="32"/>
        </w:rPr>
        <w:t>持续推进“检侨·360”品牌建设，进一步健全涉侨检察业务集中办理、远程办理工作机制，并以检侨联络站为平台，积极做好侨资侨产侨益司法保护。</w:t>
      </w:r>
    </w:p>
    <w:p>
      <w:pPr>
        <w:pStyle w:val="2"/>
        <w:overflowPunct w:val="0"/>
        <w:topLinePunct/>
        <w:ind w:firstLine="640"/>
        <w:rPr>
          <w:rFonts w:ascii="方正黑体简体" w:eastAsia="方正黑体简体"/>
          <w:szCs w:val="32"/>
        </w:rPr>
      </w:pPr>
      <w:r>
        <w:rPr>
          <w:rFonts w:hint="eastAsia" w:ascii="方正黑体简体" w:eastAsia="方正黑体简体"/>
          <w:szCs w:val="32"/>
        </w:rPr>
        <w:t>三、以“四大检察”为抓手，倾力加强新时代检察机关法律监督</w:t>
      </w:r>
    </w:p>
    <w:p>
      <w:pPr>
        <w:spacing w:line="560" w:lineRule="exact"/>
        <w:ind w:firstLine="640" w:firstLineChars="200"/>
        <w:rPr>
          <w:rFonts w:cs="黑体" w:asciiTheme="minorEastAsia" w:hAnsiTheme="minorEastAsia" w:eastAsiaTheme="minorEastAsia"/>
          <w:kern w:val="0"/>
          <w:sz w:val="32"/>
          <w:szCs w:val="32"/>
        </w:rPr>
      </w:pPr>
      <w:r>
        <w:rPr>
          <w:rFonts w:hint="eastAsia" w:cs="楷体_GB2312" w:asciiTheme="minorEastAsia" w:hAnsiTheme="minorEastAsia" w:eastAsiaTheme="minorEastAsia"/>
          <w:sz w:val="32"/>
          <w:szCs w:val="32"/>
        </w:rPr>
        <w:t>抓好刑事检察，</w:t>
      </w:r>
      <w:r>
        <w:rPr>
          <w:rFonts w:hint="eastAsia" w:cs="仿宋_GB2312"/>
          <w:sz w:val="32"/>
          <w:szCs w:val="32"/>
        </w:rPr>
        <w:t>持续深化“海陆一体”平安新会建设，与海警部门联签协作意见，促进数据同步化，实现动态掌握海上刑事侦查活动信息</w:t>
      </w:r>
      <w:r>
        <w:rPr>
          <w:rFonts w:hint="eastAsia" w:cs="楷体_GB2312" w:asciiTheme="minorEastAsia" w:hAnsiTheme="minorEastAsia" w:eastAsiaTheme="minorEastAsia"/>
          <w:sz w:val="32"/>
          <w:szCs w:val="32"/>
        </w:rPr>
        <w:t>；抓深民事检察，</w:t>
      </w:r>
      <w:r>
        <w:rPr>
          <w:rFonts w:hint="eastAsia" w:cs="仿宋_GB2312"/>
          <w:sz w:val="32"/>
          <w:szCs w:val="32"/>
        </w:rPr>
        <w:t>与区法院联签办案规程，推动民事支持起诉与审判程序有效衔接，支持农民工、妇女、消费者等诉讼能力欠缺的弱势群体提起诉讼保障特殊群体诉权</w:t>
      </w:r>
      <w:r>
        <w:rPr>
          <w:rFonts w:hint="eastAsia" w:cs="楷体_GB2312" w:asciiTheme="minorEastAsia" w:hAnsiTheme="minorEastAsia" w:eastAsiaTheme="minorEastAsia"/>
          <w:sz w:val="32"/>
          <w:szCs w:val="32"/>
        </w:rPr>
        <w:t>；抓深民事检察，</w:t>
      </w:r>
      <w:r>
        <w:rPr>
          <w:rFonts w:hint="eastAsia" w:cs="仿宋_GB2312"/>
          <w:sz w:val="32"/>
          <w:szCs w:val="32"/>
        </w:rPr>
        <w:t>积极推动区委在全市率先以文件形式将检察监督纳入地方法治政府建设工作，创新建立“法治政府督察+检察”工作模式，形成由区委依法治区办统筹协调，区检察院、区司法局共同发力的协作监督机制</w:t>
      </w:r>
      <w:r>
        <w:rPr>
          <w:rFonts w:hint="eastAsia" w:cs="楷体_GB2312" w:asciiTheme="minorEastAsia" w:hAnsiTheme="minorEastAsia" w:eastAsiaTheme="minorEastAsia"/>
          <w:sz w:val="32"/>
          <w:szCs w:val="32"/>
        </w:rPr>
        <w:t>；抓细公益诉讼，</w:t>
      </w:r>
      <w:r>
        <w:rPr>
          <w:rFonts w:hint="eastAsia" w:cs="仿宋_GB2312"/>
          <w:sz w:val="32"/>
          <w:szCs w:val="32"/>
        </w:rPr>
        <w:t>开展涉军公益诉讼“回头看”活动，开展耕地占用税征收管理检察公益诉讼专项行动，加强跨区域检察机关公益诉讼协作配合</w:t>
      </w:r>
      <w:r>
        <w:rPr>
          <w:rFonts w:hint="eastAsia" w:cs="楷体_GB2312" w:asciiTheme="minorEastAsia" w:hAnsiTheme="minorEastAsia" w:eastAsiaTheme="minorEastAsia"/>
          <w:sz w:val="32"/>
          <w:szCs w:val="32"/>
        </w:rPr>
        <w:t>。</w:t>
      </w:r>
    </w:p>
    <w:p>
      <w:pPr>
        <w:widowControl/>
        <w:spacing w:line="560" w:lineRule="exact"/>
        <w:ind w:firstLine="640" w:firstLineChars="200"/>
        <w:jc w:val="left"/>
        <w:rPr>
          <w:rFonts w:ascii="方正黑体简体" w:eastAsia="方正黑体简体"/>
          <w:sz w:val="32"/>
          <w:szCs w:val="32"/>
        </w:rPr>
      </w:pPr>
      <w:r>
        <w:rPr>
          <w:rFonts w:hint="eastAsia" w:ascii="方正黑体简体" w:eastAsia="方正黑体简体"/>
          <w:sz w:val="32"/>
          <w:szCs w:val="32"/>
        </w:rPr>
        <w:t>四、以提质增效为重点，努力开创检察事业发展新局面</w:t>
      </w:r>
    </w:p>
    <w:p>
      <w:pPr>
        <w:widowControl/>
        <w:spacing w:line="560" w:lineRule="exact"/>
        <w:ind w:firstLine="640" w:firstLineChars="200"/>
        <w:jc w:val="left"/>
        <w:rPr>
          <w:rFonts w:cs="仿宋_GB2312" w:asciiTheme="minorEastAsia" w:hAnsiTheme="minorEastAsia" w:eastAsiaTheme="minorEastAsia"/>
          <w:kern w:val="0"/>
          <w:sz w:val="32"/>
          <w:szCs w:val="32"/>
        </w:rPr>
      </w:pPr>
      <w:r>
        <w:rPr>
          <w:rFonts w:hint="eastAsia" w:cs="楷体_GB2312" w:asciiTheme="minorEastAsia" w:hAnsiTheme="minorEastAsia" w:eastAsiaTheme="minorEastAsia"/>
          <w:sz w:val="32"/>
          <w:szCs w:val="32"/>
        </w:rPr>
        <w:t>强化质量监控，提升办案质效；突出类案研判，攻坚办案难题；深化数字赋能，提升监督实效</w:t>
      </w:r>
      <w:r>
        <w:rPr>
          <w:rFonts w:hint="eastAsia" w:cs="仿宋_GB2312" w:asciiTheme="minorEastAsia" w:hAnsiTheme="minorEastAsia" w:eastAsiaTheme="minorEastAsia"/>
          <w:kern w:val="0"/>
          <w:sz w:val="32"/>
          <w:szCs w:val="32"/>
        </w:rPr>
        <w:t>。</w:t>
      </w:r>
    </w:p>
    <w:p>
      <w:pPr>
        <w:snapToGrid w:val="0"/>
        <w:spacing w:line="360" w:lineRule="auto"/>
        <w:ind w:left="640"/>
        <w:rPr>
          <w:rFonts w:ascii="仿宋_GB2312" w:hAnsi="楷体_GB2312" w:eastAsia="楷体_GB2312" w:cs="仿宋_GB2312"/>
          <w:b/>
          <w:bCs/>
          <w:sz w:val="32"/>
          <w:szCs w:val="32"/>
        </w:rPr>
      </w:pPr>
      <w:r>
        <w:rPr>
          <w:rFonts w:hint="eastAsia" w:ascii="仿宋_GB2312" w:hAnsi="楷体_GB2312" w:eastAsia="楷体_GB2312" w:cs="仿宋_GB2312"/>
          <w:b/>
          <w:bCs/>
          <w:sz w:val="32"/>
          <w:szCs w:val="32"/>
        </w:rPr>
        <w:t>（三）部门整体支出绩效目标</w:t>
      </w:r>
    </w:p>
    <w:p>
      <w:pPr>
        <w:snapToGrid w:val="0"/>
        <w:spacing w:line="360" w:lineRule="auto"/>
        <w:rPr>
          <w:rFonts w:cs="仿宋_GB2312" w:asciiTheme="minorEastAsia" w:hAnsiTheme="minorEastAsia" w:eastAsiaTheme="minorEastAsia"/>
          <w:sz w:val="32"/>
          <w:szCs w:val="32"/>
        </w:rPr>
      </w:pPr>
      <w:r>
        <w:rPr>
          <w:rFonts w:hint="eastAsia" w:cs="仿宋_GB2312" w:asciiTheme="minorEastAsia" w:hAnsiTheme="minorEastAsia" w:eastAsiaTheme="minorEastAsia"/>
          <w:b/>
          <w:bCs/>
          <w:sz w:val="32"/>
          <w:szCs w:val="32"/>
        </w:rPr>
        <w:t xml:space="preserve">    </w:t>
      </w:r>
      <w:r>
        <w:rPr>
          <w:rFonts w:hint="eastAsia" w:cs="仿宋_GB2312" w:asciiTheme="minorEastAsia" w:hAnsiTheme="minorEastAsia" w:eastAsiaTheme="minorEastAsia"/>
          <w:sz w:val="32"/>
          <w:szCs w:val="32"/>
        </w:rPr>
        <w:t>坚持“讲政治、顾大局、谋发展、重自强”的总体安排，把握“稳进、落实、提升”的工作主题，不断强化政治自觉、法治自觉、检察自觉，贯彻落实“党建引领”、“狠抓落实”、“服务干警”、“严格把关”工作理念，牢固树立“过紧日子”的思想，聚焦新时代检察工作大局，为推动检察机关“四大检察”、“十大业务”全面协调发展提供有力的经费和物质保障。</w:t>
      </w:r>
    </w:p>
    <w:p>
      <w:pPr>
        <w:snapToGrid w:val="0"/>
        <w:spacing w:line="360" w:lineRule="auto"/>
        <w:ind w:firstLine="643" w:firstLineChars="200"/>
        <w:rPr>
          <w:rFonts w:ascii="仿宋_GB2312" w:hAnsi="楷体_GB2312" w:eastAsia="楷体_GB2312" w:cs="楷体_GB2312"/>
          <w:b/>
          <w:bCs/>
          <w:sz w:val="32"/>
          <w:szCs w:val="32"/>
        </w:rPr>
      </w:pPr>
      <w:r>
        <w:rPr>
          <w:rFonts w:hint="eastAsia" w:ascii="仿宋_GB2312" w:hAnsi="楷体_GB2312" w:eastAsia="楷体_GB2312" w:cs="仿宋_GB2312"/>
          <w:b/>
          <w:bCs/>
          <w:sz w:val="32"/>
          <w:szCs w:val="32"/>
        </w:rPr>
        <w:t>（四）</w:t>
      </w:r>
      <w:r>
        <w:rPr>
          <w:rFonts w:hint="eastAsia" w:ascii="仿宋_GB2312" w:hAnsi="楷体_GB2312" w:eastAsia="楷体_GB2312" w:cs="楷体_GB2312"/>
          <w:b/>
          <w:bCs/>
          <w:sz w:val="32"/>
          <w:szCs w:val="32"/>
        </w:rPr>
        <w:t>部门整体支出情况</w:t>
      </w:r>
      <w:r>
        <w:rPr>
          <w:rFonts w:hint="eastAsia" w:ascii="仿宋_GB2312" w:hAnsi="楷体_GB2312" w:eastAsia="仿宋_GB2312" w:cs="楷体_GB2312"/>
          <w:b/>
          <w:bCs/>
          <w:sz w:val="32"/>
          <w:szCs w:val="32"/>
        </w:rPr>
        <w:t>（</w:t>
      </w:r>
      <w:r>
        <w:rPr>
          <w:rFonts w:hint="eastAsia" w:ascii="仿宋_GB2312" w:hAnsi="楷体_GB2312" w:eastAsia="楷体_GB2312" w:cs="楷体_GB2312"/>
          <w:b/>
          <w:bCs/>
          <w:sz w:val="32"/>
          <w:szCs w:val="32"/>
        </w:rPr>
        <w:t>以决算数为统计口径</w:t>
      </w:r>
      <w:r>
        <w:rPr>
          <w:rFonts w:hint="eastAsia" w:ascii="仿宋_GB2312" w:hAnsi="楷体_GB2312" w:eastAsia="仿宋_GB2312" w:cs="楷体_GB2312"/>
          <w:b/>
          <w:bCs/>
          <w:sz w:val="32"/>
          <w:szCs w:val="32"/>
        </w:rPr>
        <w:t>）</w:t>
      </w:r>
    </w:p>
    <w:p>
      <w:pPr>
        <w:snapToGrid w:val="0"/>
        <w:spacing w:line="360" w:lineRule="auto"/>
        <w:ind w:firstLine="64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根据2022年度部门决算报告，2022年</w:t>
      </w:r>
      <w:bookmarkStart w:id="0" w:name="_Hlk44183233"/>
      <w:r>
        <w:rPr>
          <w:rFonts w:hint="eastAsia" w:cs="仿宋_GB2312" w:asciiTheme="minorEastAsia" w:hAnsiTheme="minorEastAsia" w:eastAsiaTheme="minorEastAsia"/>
          <w:sz w:val="32"/>
          <w:szCs w:val="32"/>
        </w:rPr>
        <w:t>本院</w:t>
      </w:r>
      <w:bookmarkEnd w:id="0"/>
      <w:r>
        <w:rPr>
          <w:rFonts w:hint="eastAsia" w:cs="仿宋_GB2312" w:asciiTheme="minorEastAsia" w:hAnsiTheme="minorEastAsia" w:eastAsiaTheme="minorEastAsia"/>
          <w:sz w:val="32"/>
          <w:szCs w:val="32"/>
        </w:rPr>
        <w:t>部门预算收支情况良好。2022年度总收入4371.41万元，其中本年收入4101.71万元，收入来源为一般公共预算财政拨款收入、其他收入。2022 年度总支出4371.41万元，其中本年支出 3875.48万元。累计结余资金495.93万元，结转结余率为11.34%。全年部门预算资金执行率88.66%。</w:t>
      </w:r>
    </w:p>
    <w:p>
      <w:pPr>
        <w:snapToGrid w:val="0"/>
        <w:spacing w:line="360" w:lineRule="auto"/>
        <w:jc w:val="center"/>
        <w:rPr>
          <w:rFonts w:ascii="仿宋_GB2312" w:hAnsi="仿宋_GB2312" w:eastAsia="仿宋_GB2312" w:cs="仿宋_GB2312"/>
          <w:sz w:val="32"/>
          <w:szCs w:val="32"/>
        </w:rPr>
      </w:pPr>
      <w:r>
        <w:rPr>
          <w:rFonts w:hint="eastAsia" w:ascii="黑体" w:hAnsi="黑体" w:eastAsia="黑体"/>
          <w:sz w:val="28"/>
          <w:szCs w:val="28"/>
        </w:rPr>
        <w:t>表1-</w:t>
      </w:r>
      <w:r>
        <w:rPr>
          <w:rFonts w:ascii="黑体" w:hAnsi="黑体" w:eastAsia="黑体"/>
          <w:sz w:val="28"/>
          <w:szCs w:val="28"/>
        </w:rPr>
        <w:t xml:space="preserve">1 </w:t>
      </w:r>
      <w:r>
        <w:rPr>
          <w:rFonts w:hint="eastAsia" w:ascii="黑体" w:hAnsi="黑体" w:eastAsia="黑体"/>
          <w:sz w:val="28"/>
          <w:szCs w:val="28"/>
        </w:rPr>
        <w:t>部门整体收入基本情况</w:t>
      </w:r>
    </w:p>
    <w:tbl>
      <w:tblPr>
        <w:tblStyle w:val="5"/>
        <w:tblW w:w="0" w:type="auto"/>
        <w:tblInd w:w="93" w:type="dxa"/>
        <w:tblLayout w:type="fixed"/>
        <w:tblCellMar>
          <w:top w:w="0" w:type="dxa"/>
          <w:left w:w="108" w:type="dxa"/>
          <w:bottom w:w="0" w:type="dxa"/>
          <w:right w:w="108" w:type="dxa"/>
        </w:tblCellMar>
      </w:tblPr>
      <w:tblGrid>
        <w:gridCol w:w="3590"/>
        <w:gridCol w:w="1755"/>
        <w:gridCol w:w="1890"/>
        <w:gridCol w:w="1725"/>
      </w:tblGrid>
      <w:tr>
        <w:tblPrEx>
          <w:tblCellMar>
            <w:top w:w="0" w:type="dxa"/>
            <w:left w:w="108" w:type="dxa"/>
            <w:bottom w:w="0" w:type="dxa"/>
            <w:right w:w="108" w:type="dxa"/>
          </w:tblCellMar>
        </w:tblPrEx>
        <w:trPr>
          <w:trHeight w:val="540" w:hRule="atLeast"/>
        </w:trPr>
        <w:tc>
          <w:tcPr>
            <w:tcW w:w="359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项目</w:t>
            </w:r>
          </w:p>
        </w:tc>
        <w:tc>
          <w:tcPr>
            <w:tcW w:w="1755" w:type="dxa"/>
            <w:tcBorders>
              <w:top w:val="single" w:color="000000" w:sz="8" w:space="0"/>
              <w:left w:val="nil"/>
              <w:bottom w:val="nil"/>
              <w:right w:val="single" w:color="000000" w:sz="8" w:space="0"/>
            </w:tcBorders>
            <w:shd w:val="clear" w:color="auto" w:fill="FFFFFF"/>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年初预算数</w:t>
            </w:r>
          </w:p>
        </w:tc>
        <w:tc>
          <w:tcPr>
            <w:tcW w:w="1890" w:type="dxa"/>
            <w:tcBorders>
              <w:top w:val="single" w:color="000000" w:sz="8" w:space="0"/>
              <w:left w:val="nil"/>
              <w:bottom w:val="nil"/>
              <w:right w:val="single" w:color="000000" w:sz="8" w:space="0"/>
            </w:tcBorders>
            <w:shd w:val="clear" w:color="auto" w:fill="FFFFFF"/>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调整预算数</w:t>
            </w:r>
          </w:p>
        </w:tc>
        <w:tc>
          <w:tcPr>
            <w:tcW w:w="1725" w:type="dxa"/>
            <w:tcBorders>
              <w:top w:val="single" w:color="000000" w:sz="8" w:space="0"/>
              <w:left w:val="nil"/>
              <w:bottom w:val="nil"/>
              <w:right w:val="single" w:color="000000" w:sz="8" w:space="0"/>
            </w:tcBorders>
            <w:shd w:val="clear" w:color="auto" w:fill="FFFFFF"/>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决算数</w:t>
            </w:r>
          </w:p>
        </w:tc>
      </w:tr>
      <w:tr>
        <w:tblPrEx>
          <w:tblCellMar>
            <w:top w:w="0" w:type="dxa"/>
            <w:left w:w="108" w:type="dxa"/>
            <w:bottom w:w="0" w:type="dxa"/>
            <w:right w:w="108" w:type="dxa"/>
          </w:tblCellMar>
        </w:tblPrEx>
        <w:trPr>
          <w:trHeight w:val="300" w:hRule="atLeast"/>
        </w:trPr>
        <w:tc>
          <w:tcPr>
            <w:tcW w:w="359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_GB2312" w:hAnsi="宋体" w:eastAsia="仿宋_GB2312" w:cs="仿宋_GB2312"/>
                <w:color w:val="000000"/>
                <w:sz w:val="24"/>
                <w:szCs w:val="24"/>
              </w:rPr>
            </w:pPr>
          </w:p>
        </w:tc>
        <w:tc>
          <w:tcPr>
            <w:tcW w:w="175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（万元）</w:t>
            </w:r>
          </w:p>
        </w:tc>
        <w:tc>
          <w:tcPr>
            <w:tcW w:w="1890"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（万元）</w:t>
            </w:r>
          </w:p>
        </w:tc>
        <w:tc>
          <w:tcPr>
            <w:tcW w:w="1725" w:type="dxa"/>
            <w:tcBorders>
              <w:top w:val="nil"/>
              <w:left w:val="nil"/>
              <w:bottom w:val="single" w:color="000000" w:sz="8" w:space="0"/>
              <w:right w:val="single" w:color="000000" w:sz="8" w:space="0"/>
            </w:tcBorders>
            <w:shd w:val="clear" w:color="auto" w:fill="FFFFFF"/>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（万元）</w:t>
            </w:r>
          </w:p>
        </w:tc>
      </w:tr>
      <w:tr>
        <w:tblPrEx>
          <w:tblCellMar>
            <w:top w:w="0" w:type="dxa"/>
            <w:left w:w="108" w:type="dxa"/>
            <w:bottom w:w="0" w:type="dxa"/>
            <w:right w:w="108" w:type="dxa"/>
          </w:tblCellMar>
        </w:tblPrEx>
        <w:trPr>
          <w:trHeight w:val="405" w:hRule="atLeast"/>
        </w:trPr>
        <w:tc>
          <w:tcPr>
            <w:tcW w:w="3590"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一、</w:t>
            </w:r>
            <w:r>
              <w:rPr>
                <w:rStyle w:val="10"/>
                <w:rFonts w:hAnsi="宋体"/>
              </w:rPr>
              <w:t>财政拨款收入</w:t>
            </w:r>
          </w:p>
        </w:tc>
        <w:tc>
          <w:tcPr>
            <w:tcW w:w="1755" w:type="dxa"/>
            <w:tcBorders>
              <w:top w:val="nil"/>
              <w:left w:val="nil"/>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3209.70</w:t>
            </w:r>
          </w:p>
        </w:tc>
        <w:tc>
          <w:tcPr>
            <w:tcW w:w="1890" w:type="dxa"/>
            <w:tcBorders>
              <w:top w:val="nil"/>
              <w:left w:val="nil"/>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3137.52</w:t>
            </w:r>
          </w:p>
        </w:tc>
        <w:tc>
          <w:tcPr>
            <w:tcW w:w="1725" w:type="dxa"/>
            <w:tcBorders>
              <w:top w:val="nil"/>
              <w:left w:val="nil"/>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3137.52</w:t>
            </w:r>
          </w:p>
        </w:tc>
      </w:tr>
      <w:tr>
        <w:tblPrEx>
          <w:tblCellMar>
            <w:top w:w="0" w:type="dxa"/>
            <w:left w:w="108" w:type="dxa"/>
            <w:bottom w:w="0" w:type="dxa"/>
            <w:right w:w="108" w:type="dxa"/>
          </w:tblCellMar>
        </w:tblPrEx>
        <w:trPr>
          <w:trHeight w:val="360" w:hRule="atLeast"/>
        </w:trPr>
        <w:tc>
          <w:tcPr>
            <w:tcW w:w="3590"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二、上级补助收入</w:t>
            </w:r>
          </w:p>
        </w:tc>
        <w:tc>
          <w:tcPr>
            <w:tcW w:w="1755" w:type="dxa"/>
            <w:tcBorders>
              <w:top w:val="nil"/>
              <w:left w:val="nil"/>
              <w:bottom w:val="single" w:color="000000" w:sz="8" w:space="0"/>
              <w:right w:val="single" w:color="000000" w:sz="8" w:space="0"/>
            </w:tcBorders>
            <w:vAlign w:val="center"/>
          </w:tcPr>
          <w:p>
            <w:pPr>
              <w:jc w:val="center"/>
              <w:rPr>
                <w:rFonts w:ascii="仿宋_GB2312" w:hAnsi="宋体" w:eastAsia="仿宋_GB2312" w:cs="仿宋_GB2312"/>
                <w:color w:val="000000"/>
                <w:sz w:val="24"/>
                <w:szCs w:val="24"/>
              </w:rPr>
            </w:pPr>
          </w:p>
        </w:tc>
        <w:tc>
          <w:tcPr>
            <w:tcW w:w="1890" w:type="dxa"/>
            <w:tcBorders>
              <w:top w:val="nil"/>
              <w:left w:val="nil"/>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0</w:t>
            </w:r>
          </w:p>
        </w:tc>
        <w:tc>
          <w:tcPr>
            <w:tcW w:w="1725" w:type="dxa"/>
            <w:tcBorders>
              <w:top w:val="nil"/>
              <w:left w:val="nil"/>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0</w:t>
            </w:r>
          </w:p>
        </w:tc>
      </w:tr>
      <w:tr>
        <w:tblPrEx>
          <w:tblCellMar>
            <w:top w:w="0" w:type="dxa"/>
            <w:left w:w="108" w:type="dxa"/>
            <w:bottom w:w="0" w:type="dxa"/>
            <w:right w:w="108" w:type="dxa"/>
          </w:tblCellMar>
        </w:tblPrEx>
        <w:trPr>
          <w:trHeight w:val="300" w:hRule="atLeast"/>
        </w:trPr>
        <w:tc>
          <w:tcPr>
            <w:tcW w:w="3590"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三、事业收入</w:t>
            </w:r>
          </w:p>
        </w:tc>
        <w:tc>
          <w:tcPr>
            <w:tcW w:w="1755" w:type="dxa"/>
            <w:tcBorders>
              <w:top w:val="nil"/>
              <w:left w:val="nil"/>
              <w:bottom w:val="single" w:color="000000" w:sz="8" w:space="0"/>
              <w:right w:val="single" w:color="000000" w:sz="8" w:space="0"/>
            </w:tcBorders>
            <w:vAlign w:val="center"/>
          </w:tcPr>
          <w:p>
            <w:pPr>
              <w:jc w:val="center"/>
              <w:rPr>
                <w:rFonts w:ascii="仿宋_GB2312" w:hAnsi="宋体" w:eastAsia="仿宋_GB2312" w:cs="仿宋_GB2312"/>
                <w:color w:val="000000"/>
                <w:sz w:val="24"/>
                <w:szCs w:val="24"/>
              </w:rPr>
            </w:pPr>
          </w:p>
        </w:tc>
        <w:tc>
          <w:tcPr>
            <w:tcW w:w="1890" w:type="dxa"/>
            <w:tcBorders>
              <w:top w:val="nil"/>
              <w:left w:val="nil"/>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0</w:t>
            </w:r>
          </w:p>
        </w:tc>
        <w:tc>
          <w:tcPr>
            <w:tcW w:w="1725" w:type="dxa"/>
            <w:tcBorders>
              <w:top w:val="nil"/>
              <w:left w:val="nil"/>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0</w:t>
            </w:r>
          </w:p>
        </w:tc>
      </w:tr>
      <w:tr>
        <w:tblPrEx>
          <w:tblCellMar>
            <w:top w:w="0" w:type="dxa"/>
            <w:left w:w="108" w:type="dxa"/>
            <w:bottom w:w="0" w:type="dxa"/>
            <w:right w:w="108" w:type="dxa"/>
          </w:tblCellMar>
        </w:tblPrEx>
        <w:trPr>
          <w:trHeight w:val="300" w:hRule="atLeast"/>
        </w:trPr>
        <w:tc>
          <w:tcPr>
            <w:tcW w:w="3590"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四、其他收入</w:t>
            </w:r>
          </w:p>
        </w:tc>
        <w:tc>
          <w:tcPr>
            <w:tcW w:w="1755" w:type="dxa"/>
            <w:tcBorders>
              <w:top w:val="nil"/>
              <w:left w:val="nil"/>
              <w:bottom w:val="single" w:color="000000" w:sz="8" w:space="0"/>
              <w:right w:val="single" w:color="000000" w:sz="8" w:space="0"/>
            </w:tcBorders>
            <w:vAlign w:val="center"/>
          </w:tcPr>
          <w:p>
            <w:pPr>
              <w:jc w:val="center"/>
              <w:rPr>
                <w:rFonts w:ascii="仿宋_GB2312" w:hAnsi="宋体" w:eastAsia="仿宋_GB2312" w:cs="仿宋_GB2312"/>
                <w:color w:val="000000"/>
                <w:sz w:val="24"/>
                <w:szCs w:val="24"/>
              </w:rPr>
            </w:pPr>
          </w:p>
        </w:tc>
        <w:tc>
          <w:tcPr>
            <w:tcW w:w="1890" w:type="dxa"/>
            <w:tcBorders>
              <w:top w:val="nil"/>
              <w:left w:val="nil"/>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964.19</w:t>
            </w:r>
          </w:p>
        </w:tc>
        <w:tc>
          <w:tcPr>
            <w:tcW w:w="1725" w:type="dxa"/>
            <w:tcBorders>
              <w:top w:val="nil"/>
              <w:left w:val="nil"/>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964.19</w:t>
            </w:r>
          </w:p>
        </w:tc>
      </w:tr>
      <w:tr>
        <w:tblPrEx>
          <w:tblCellMar>
            <w:top w:w="0" w:type="dxa"/>
            <w:left w:w="108" w:type="dxa"/>
            <w:bottom w:w="0" w:type="dxa"/>
            <w:right w:w="108" w:type="dxa"/>
          </w:tblCellMar>
        </w:tblPrEx>
        <w:trPr>
          <w:trHeight w:val="300" w:hRule="atLeast"/>
        </w:trPr>
        <w:tc>
          <w:tcPr>
            <w:tcW w:w="359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b/>
                <w:bCs/>
                <w:color w:val="000000"/>
                <w:kern w:val="0"/>
                <w:sz w:val="24"/>
                <w:szCs w:val="24"/>
              </w:rPr>
              <w:t>本年收入合计</w:t>
            </w:r>
          </w:p>
        </w:tc>
        <w:tc>
          <w:tcPr>
            <w:tcW w:w="1755" w:type="dxa"/>
            <w:tcBorders>
              <w:top w:val="nil"/>
              <w:left w:val="nil"/>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3209.70</w:t>
            </w:r>
          </w:p>
        </w:tc>
        <w:tc>
          <w:tcPr>
            <w:tcW w:w="1890" w:type="dxa"/>
            <w:tcBorders>
              <w:top w:val="nil"/>
              <w:left w:val="nil"/>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4101.71</w:t>
            </w:r>
          </w:p>
        </w:tc>
        <w:tc>
          <w:tcPr>
            <w:tcW w:w="1725" w:type="dxa"/>
            <w:tcBorders>
              <w:top w:val="nil"/>
              <w:left w:val="nil"/>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4101.71</w:t>
            </w:r>
          </w:p>
        </w:tc>
      </w:tr>
      <w:tr>
        <w:tblPrEx>
          <w:tblCellMar>
            <w:top w:w="0" w:type="dxa"/>
            <w:left w:w="108" w:type="dxa"/>
            <w:bottom w:w="0" w:type="dxa"/>
            <w:right w:w="108" w:type="dxa"/>
          </w:tblCellMar>
        </w:tblPrEx>
        <w:trPr>
          <w:trHeight w:val="327" w:hRule="atLeast"/>
        </w:trPr>
        <w:tc>
          <w:tcPr>
            <w:tcW w:w="3590"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一、</w:t>
            </w:r>
            <w:r>
              <w:rPr>
                <w:rFonts w:ascii="仿宋_GB2312" w:hAnsi="宋体" w:eastAsia="仿宋_GB2312" w:cs="仿宋_GB2312"/>
                <w:color w:val="000000"/>
                <w:kern w:val="0"/>
                <w:sz w:val="24"/>
                <w:szCs w:val="24"/>
              </w:rPr>
              <w:t>年初财政拨款结转和结余</w:t>
            </w:r>
          </w:p>
        </w:tc>
        <w:tc>
          <w:tcPr>
            <w:tcW w:w="1755" w:type="dxa"/>
            <w:tcBorders>
              <w:top w:val="nil"/>
              <w:left w:val="nil"/>
              <w:bottom w:val="single" w:color="000000" w:sz="8" w:space="0"/>
              <w:right w:val="single" w:color="000000" w:sz="8" w:space="0"/>
            </w:tcBorders>
            <w:vAlign w:val="center"/>
          </w:tcPr>
          <w:p>
            <w:pPr>
              <w:jc w:val="center"/>
              <w:rPr>
                <w:rFonts w:ascii="仿宋_GB2312" w:hAnsi="宋体" w:eastAsia="仿宋_GB2312" w:cs="仿宋_GB2312"/>
                <w:color w:val="000000"/>
                <w:sz w:val="24"/>
                <w:szCs w:val="24"/>
              </w:rPr>
            </w:pPr>
          </w:p>
        </w:tc>
        <w:tc>
          <w:tcPr>
            <w:tcW w:w="1890" w:type="dxa"/>
            <w:tcBorders>
              <w:top w:val="nil"/>
              <w:left w:val="nil"/>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269.70</w:t>
            </w:r>
          </w:p>
        </w:tc>
        <w:tc>
          <w:tcPr>
            <w:tcW w:w="1725" w:type="dxa"/>
            <w:tcBorders>
              <w:top w:val="nil"/>
              <w:left w:val="nil"/>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269.70</w:t>
            </w:r>
          </w:p>
        </w:tc>
      </w:tr>
      <w:tr>
        <w:tblPrEx>
          <w:tblCellMar>
            <w:top w:w="0" w:type="dxa"/>
            <w:left w:w="108" w:type="dxa"/>
            <w:bottom w:w="0" w:type="dxa"/>
            <w:right w:w="108" w:type="dxa"/>
          </w:tblCellMar>
        </w:tblPrEx>
        <w:trPr>
          <w:trHeight w:val="367" w:hRule="atLeast"/>
        </w:trPr>
        <w:tc>
          <w:tcPr>
            <w:tcW w:w="359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b/>
                <w:bCs/>
                <w:color w:val="000000"/>
                <w:kern w:val="0"/>
                <w:sz w:val="24"/>
                <w:szCs w:val="24"/>
              </w:rPr>
              <w:t>总计</w:t>
            </w:r>
          </w:p>
        </w:tc>
        <w:tc>
          <w:tcPr>
            <w:tcW w:w="1755" w:type="dxa"/>
            <w:tcBorders>
              <w:top w:val="nil"/>
              <w:left w:val="nil"/>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3209.70</w:t>
            </w:r>
          </w:p>
        </w:tc>
        <w:tc>
          <w:tcPr>
            <w:tcW w:w="1890" w:type="dxa"/>
            <w:tcBorders>
              <w:top w:val="nil"/>
              <w:left w:val="nil"/>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4371.41</w:t>
            </w:r>
          </w:p>
        </w:tc>
        <w:tc>
          <w:tcPr>
            <w:tcW w:w="1725" w:type="dxa"/>
            <w:tcBorders>
              <w:top w:val="nil"/>
              <w:left w:val="nil"/>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rPr>
              <w:t>4371.41</w:t>
            </w:r>
          </w:p>
        </w:tc>
      </w:tr>
    </w:tbl>
    <w:p>
      <w:pPr>
        <w:snapToGrid w:val="0"/>
        <w:spacing w:line="360" w:lineRule="auto"/>
        <w:jc w:val="center"/>
        <w:rPr>
          <w:rFonts w:ascii="仿宋_GB2312" w:hAnsi="仿宋_GB2312" w:eastAsia="仿宋_GB2312" w:cs="仿宋_GB2312"/>
          <w:sz w:val="32"/>
          <w:szCs w:val="32"/>
        </w:rPr>
      </w:pPr>
    </w:p>
    <w:p>
      <w:pPr>
        <w:snapToGrid w:val="0"/>
        <w:spacing w:line="360" w:lineRule="auto"/>
        <w:jc w:val="center"/>
        <w:rPr>
          <w:rFonts w:ascii="黑体" w:hAnsi="黑体" w:eastAsia="黑体"/>
          <w:sz w:val="28"/>
          <w:szCs w:val="28"/>
        </w:rPr>
      </w:pPr>
      <w:r>
        <w:rPr>
          <w:rFonts w:hint="eastAsia" w:ascii="黑体" w:hAnsi="黑体" w:eastAsia="黑体"/>
          <w:sz w:val="28"/>
          <w:szCs w:val="28"/>
        </w:rPr>
        <w:t>表1-</w:t>
      </w:r>
      <w:r>
        <w:rPr>
          <w:rFonts w:ascii="黑体" w:hAnsi="黑体" w:eastAsia="黑体"/>
          <w:sz w:val="28"/>
          <w:szCs w:val="28"/>
        </w:rPr>
        <w:t>2</w:t>
      </w:r>
      <w:r>
        <w:rPr>
          <w:rFonts w:hint="eastAsia" w:ascii="黑体" w:hAnsi="黑体" w:eastAsia="黑体"/>
          <w:sz w:val="28"/>
          <w:szCs w:val="28"/>
        </w:rPr>
        <w:t>部门整体支出基本情况表</w:t>
      </w:r>
    </w:p>
    <w:tbl>
      <w:tblPr>
        <w:tblStyle w:val="5"/>
        <w:tblW w:w="0" w:type="auto"/>
        <w:tblInd w:w="93" w:type="dxa"/>
        <w:tblLayout w:type="fixed"/>
        <w:tblCellMar>
          <w:top w:w="0" w:type="dxa"/>
          <w:left w:w="108" w:type="dxa"/>
          <w:bottom w:w="0" w:type="dxa"/>
          <w:right w:w="108" w:type="dxa"/>
        </w:tblCellMar>
      </w:tblPr>
      <w:tblGrid>
        <w:gridCol w:w="3590"/>
        <w:gridCol w:w="1755"/>
        <w:gridCol w:w="1875"/>
        <w:gridCol w:w="1740"/>
      </w:tblGrid>
      <w:tr>
        <w:tblPrEx>
          <w:tblCellMar>
            <w:top w:w="0" w:type="dxa"/>
            <w:left w:w="108" w:type="dxa"/>
            <w:bottom w:w="0" w:type="dxa"/>
            <w:right w:w="108" w:type="dxa"/>
          </w:tblCellMar>
        </w:tblPrEx>
        <w:trPr>
          <w:trHeight w:val="585" w:hRule="atLeast"/>
        </w:trPr>
        <w:tc>
          <w:tcPr>
            <w:tcW w:w="3590"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项目(按支出性质）</w:t>
            </w:r>
          </w:p>
        </w:tc>
        <w:tc>
          <w:tcPr>
            <w:tcW w:w="1755" w:type="dxa"/>
            <w:tcBorders>
              <w:top w:val="single" w:color="000000" w:sz="8" w:space="0"/>
              <w:left w:val="nil"/>
              <w:bottom w:val="nil"/>
              <w:right w:val="single" w:color="000000" w:sz="8" w:space="0"/>
            </w:tcBorders>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年初预算数</w:t>
            </w:r>
          </w:p>
        </w:tc>
        <w:tc>
          <w:tcPr>
            <w:tcW w:w="1875" w:type="dxa"/>
            <w:tcBorders>
              <w:top w:val="single" w:color="000000" w:sz="8" w:space="0"/>
              <w:left w:val="nil"/>
              <w:bottom w:val="nil"/>
              <w:right w:val="single" w:color="000000" w:sz="8" w:space="0"/>
            </w:tcBorders>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调整预算数</w:t>
            </w:r>
          </w:p>
        </w:tc>
        <w:tc>
          <w:tcPr>
            <w:tcW w:w="1740" w:type="dxa"/>
            <w:tcBorders>
              <w:top w:val="single" w:color="000000" w:sz="8" w:space="0"/>
              <w:left w:val="nil"/>
              <w:bottom w:val="nil"/>
              <w:right w:val="single" w:color="000000" w:sz="8" w:space="0"/>
            </w:tcBorders>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决算数</w:t>
            </w:r>
          </w:p>
        </w:tc>
      </w:tr>
      <w:tr>
        <w:tblPrEx>
          <w:tblCellMar>
            <w:top w:w="0" w:type="dxa"/>
            <w:left w:w="108" w:type="dxa"/>
            <w:bottom w:w="0" w:type="dxa"/>
            <w:right w:w="108" w:type="dxa"/>
          </w:tblCellMar>
        </w:tblPrEx>
        <w:trPr>
          <w:trHeight w:val="300" w:hRule="atLeast"/>
        </w:trPr>
        <w:tc>
          <w:tcPr>
            <w:tcW w:w="359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_GB2312" w:hAnsi="宋体" w:eastAsia="仿宋_GB2312" w:cs="仿宋_GB2312"/>
                <w:color w:val="000000"/>
                <w:sz w:val="24"/>
                <w:szCs w:val="24"/>
              </w:rPr>
            </w:pPr>
          </w:p>
        </w:tc>
        <w:tc>
          <w:tcPr>
            <w:tcW w:w="1755" w:type="dxa"/>
            <w:tcBorders>
              <w:top w:val="nil"/>
              <w:left w:val="nil"/>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（万元）</w:t>
            </w:r>
          </w:p>
        </w:tc>
        <w:tc>
          <w:tcPr>
            <w:tcW w:w="1875" w:type="dxa"/>
            <w:tcBorders>
              <w:top w:val="nil"/>
              <w:left w:val="nil"/>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（万元）</w:t>
            </w:r>
          </w:p>
        </w:tc>
        <w:tc>
          <w:tcPr>
            <w:tcW w:w="1740" w:type="dxa"/>
            <w:tcBorders>
              <w:top w:val="nil"/>
              <w:left w:val="nil"/>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（万元）</w:t>
            </w:r>
          </w:p>
        </w:tc>
      </w:tr>
      <w:tr>
        <w:tblPrEx>
          <w:tblCellMar>
            <w:top w:w="0" w:type="dxa"/>
            <w:left w:w="108" w:type="dxa"/>
            <w:bottom w:w="0" w:type="dxa"/>
            <w:right w:w="108" w:type="dxa"/>
          </w:tblCellMar>
        </w:tblPrEx>
        <w:trPr>
          <w:trHeight w:val="300" w:hRule="atLeast"/>
        </w:trPr>
        <w:tc>
          <w:tcPr>
            <w:tcW w:w="3590"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一、基本支出</w:t>
            </w:r>
          </w:p>
        </w:tc>
        <w:tc>
          <w:tcPr>
            <w:tcW w:w="1755" w:type="dxa"/>
            <w:tcBorders>
              <w:top w:val="nil"/>
              <w:left w:val="nil"/>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2642.5</w:t>
            </w:r>
          </w:p>
        </w:tc>
        <w:tc>
          <w:tcPr>
            <w:tcW w:w="1875" w:type="dxa"/>
            <w:tcBorders>
              <w:top w:val="nil"/>
              <w:left w:val="nil"/>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2948.48</w:t>
            </w:r>
          </w:p>
        </w:tc>
        <w:tc>
          <w:tcPr>
            <w:tcW w:w="1740" w:type="dxa"/>
            <w:tcBorders>
              <w:top w:val="nil"/>
              <w:left w:val="nil"/>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2948.48</w:t>
            </w:r>
          </w:p>
        </w:tc>
      </w:tr>
      <w:tr>
        <w:tblPrEx>
          <w:tblCellMar>
            <w:top w:w="0" w:type="dxa"/>
            <w:left w:w="108" w:type="dxa"/>
            <w:bottom w:w="0" w:type="dxa"/>
            <w:right w:w="108" w:type="dxa"/>
          </w:tblCellMar>
        </w:tblPrEx>
        <w:trPr>
          <w:trHeight w:val="300" w:hRule="atLeast"/>
        </w:trPr>
        <w:tc>
          <w:tcPr>
            <w:tcW w:w="3590" w:type="dxa"/>
            <w:tcBorders>
              <w:top w:val="nil"/>
              <w:left w:val="single" w:color="000000" w:sz="8" w:space="0"/>
              <w:bottom w:val="single" w:color="000000" w:sz="8" w:space="0"/>
              <w:right w:val="single" w:color="000000" w:sz="8" w:space="0"/>
            </w:tcBorders>
            <w:vAlign w:val="center"/>
          </w:tcPr>
          <w:p>
            <w:pPr>
              <w:widowControl/>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人员经费</w:t>
            </w:r>
          </w:p>
        </w:tc>
        <w:tc>
          <w:tcPr>
            <w:tcW w:w="1755" w:type="dxa"/>
            <w:tcBorders>
              <w:top w:val="nil"/>
              <w:left w:val="nil"/>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2246</w:t>
            </w:r>
          </w:p>
        </w:tc>
        <w:tc>
          <w:tcPr>
            <w:tcW w:w="1875" w:type="dxa"/>
            <w:tcBorders>
              <w:top w:val="nil"/>
              <w:left w:val="nil"/>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2583.72</w:t>
            </w:r>
          </w:p>
        </w:tc>
        <w:tc>
          <w:tcPr>
            <w:tcW w:w="1740" w:type="dxa"/>
            <w:tcBorders>
              <w:top w:val="nil"/>
              <w:left w:val="nil"/>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2583.72</w:t>
            </w:r>
          </w:p>
        </w:tc>
      </w:tr>
      <w:tr>
        <w:tblPrEx>
          <w:tblCellMar>
            <w:top w:w="0" w:type="dxa"/>
            <w:left w:w="108" w:type="dxa"/>
            <w:bottom w:w="0" w:type="dxa"/>
            <w:right w:w="108" w:type="dxa"/>
          </w:tblCellMar>
        </w:tblPrEx>
        <w:trPr>
          <w:trHeight w:val="300" w:hRule="atLeast"/>
        </w:trPr>
        <w:tc>
          <w:tcPr>
            <w:tcW w:w="3590"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日常公用经费</w:t>
            </w:r>
          </w:p>
        </w:tc>
        <w:tc>
          <w:tcPr>
            <w:tcW w:w="1755" w:type="dxa"/>
            <w:tcBorders>
              <w:top w:val="nil"/>
              <w:left w:val="nil"/>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396.5</w:t>
            </w:r>
          </w:p>
        </w:tc>
        <w:tc>
          <w:tcPr>
            <w:tcW w:w="1875" w:type="dxa"/>
            <w:tcBorders>
              <w:top w:val="nil"/>
              <w:left w:val="nil"/>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364.76</w:t>
            </w:r>
          </w:p>
        </w:tc>
        <w:tc>
          <w:tcPr>
            <w:tcW w:w="1740" w:type="dxa"/>
            <w:tcBorders>
              <w:top w:val="nil"/>
              <w:left w:val="nil"/>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364.76</w:t>
            </w:r>
          </w:p>
        </w:tc>
      </w:tr>
      <w:tr>
        <w:tblPrEx>
          <w:tblCellMar>
            <w:top w:w="0" w:type="dxa"/>
            <w:left w:w="108" w:type="dxa"/>
            <w:bottom w:w="0" w:type="dxa"/>
            <w:right w:w="108" w:type="dxa"/>
          </w:tblCellMar>
        </w:tblPrEx>
        <w:trPr>
          <w:trHeight w:val="300" w:hRule="atLeast"/>
        </w:trPr>
        <w:tc>
          <w:tcPr>
            <w:tcW w:w="3590"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二、项目支出</w:t>
            </w:r>
          </w:p>
        </w:tc>
        <w:tc>
          <w:tcPr>
            <w:tcW w:w="1755" w:type="dxa"/>
            <w:tcBorders>
              <w:top w:val="nil"/>
              <w:left w:val="nil"/>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567.20</w:t>
            </w:r>
          </w:p>
        </w:tc>
        <w:tc>
          <w:tcPr>
            <w:tcW w:w="1875" w:type="dxa"/>
            <w:tcBorders>
              <w:top w:val="nil"/>
              <w:left w:val="nil"/>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927</w:t>
            </w:r>
          </w:p>
        </w:tc>
        <w:tc>
          <w:tcPr>
            <w:tcW w:w="1740" w:type="dxa"/>
            <w:tcBorders>
              <w:top w:val="nil"/>
              <w:left w:val="nil"/>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927</w:t>
            </w:r>
          </w:p>
        </w:tc>
      </w:tr>
      <w:tr>
        <w:tblPrEx>
          <w:tblCellMar>
            <w:top w:w="0" w:type="dxa"/>
            <w:left w:w="108" w:type="dxa"/>
            <w:bottom w:w="0" w:type="dxa"/>
            <w:right w:w="108" w:type="dxa"/>
          </w:tblCellMar>
        </w:tblPrEx>
        <w:trPr>
          <w:trHeight w:val="300" w:hRule="atLeast"/>
        </w:trPr>
        <w:tc>
          <w:tcPr>
            <w:tcW w:w="3590"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基本建设类项目</w:t>
            </w:r>
          </w:p>
        </w:tc>
        <w:tc>
          <w:tcPr>
            <w:tcW w:w="1755" w:type="dxa"/>
            <w:tcBorders>
              <w:top w:val="nil"/>
              <w:left w:val="nil"/>
              <w:bottom w:val="single" w:color="000000" w:sz="8" w:space="0"/>
              <w:right w:val="single" w:color="000000" w:sz="8" w:space="0"/>
            </w:tcBorders>
            <w:vAlign w:val="center"/>
          </w:tcPr>
          <w:p>
            <w:pPr>
              <w:jc w:val="center"/>
              <w:rPr>
                <w:rFonts w:ascii="仿宋_GB2312" w:hAnsi="宋体" w:eastAsia="仿宋_GB2312" w:cs="仿宋_GB2312"/>
                <w:color w:val="000000"/>
                <w:sz w:val="24"/>
                <w:szCs w:val="24"/>
              </w:rPr>
            </w:pPr>
          </w:p>
        </w:tc>
        <w:tc>
          <w:tcPr>
            <w:tcW w:w="1875" w:type="dxa"/>
            <w:tcBorders>
              <w:top w:val="nil"/>
              <w:left w:val="nil"/>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szCs w:val="24"/>
              </w:rPr>
            </w:pPr>
          </w:p>
        </w:tc>
        <w:tc>
          <w:tcPr>
            <w:tcW w:w="1740" w:type="dxa"/>
            <w:tcBorders>
              <w:top w:val="nil"/>
              <w:left w:val="nil"/>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szCs w:val="24"/>
              </w:rPr>
            </w:pPr>
          </w:p>
        </w:tc>
      </w:tr>
      <w:tr>
        <w:tblPrEx>
          <w:tblCellMar>
            <w:top w:w="0" w:type="dxa"/>
            <w:left w:w="108" w:type="dxa"/>
            <w:bottom w:w="0" w:type="dxa"/>
            <w:right w:w="108" w:type="dxa"/>
          </w:tblCellMar>
        </w:tblPrEx>
        <w:trPr>
          <w:trHeight w:val="300" w:hRule="atLeast"/>
        </w:trPr>
        <w:tc>
          <w:tcPr>
            <w:tcW w:w="3590"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行政事业类项目</w:t>
            </w:r>
          </w:p>
        </w:tc>
        <w:tc>
          <w:tcPr>
            <w:tcW w:w="1755" w:type="dxa"/>
            <w:tcBorders>
              <w:top w:val="nil"/>
              <w:left w:val="nil"/>
              <w:bottom w:val="single" w:color="000000" w:sz="8" w:space="0"/>
              <w:right w:val="single" w:color="000000" w:sz="8" w:space="0"/>
            </w:tcBorders>
            <w:vAlign w:val="center"/>
          </w:tcPr>
          <w:p>
            <w:pPr>
              <w:jc w:val="center"/>
              <w:rPr>
                <w:rFonts w:ascii="仿宋_GB2312" w:hAnsi="宋体" w:eastAsia="仿宋_GB2312" w:cs="仿宋_GB2312"/>
                <w:color w:val="000000"/>
                <w:sz w:val="24"/>
                <w:szCs w:val="24"/>
              </w:rPr>
            </w:pPr>
          </w:p>
        </w:tc>
        <w:tc>
          <w:tcPr>
            <w:tcW w:w="1875" w:type="dxa"/>
            <w:tcBorders>
              <w:top w:val="nil"/>
              <w:left w:val="nil"/>
              <w:bottom w:val="single" w:color="000000" w:sz="8" w:space="0"/>
              <w:right w:val="single" w:color="000000" w:sz="8" w:space="0"/>
            </w:tcBorders>
            <w:vAlign w:val="center"/>
          </w:tcPr>
          <w:p>
            <w:pPr>
              <w:jc w:val="center"/>
              <w:rPr>
                <w:rFonts w:ascii="仿宋_GB2312" w:hAnsi="宋体" w:eastAsia="仿宋_GB2312" w:cs="仿宋_GB2312"/>
                <w:color w:val="000000"/>
                <w:sz w:val="24"/>
                <w:szCs w:val="24"/>
              </w:rPr>
            </w:pPr>
          </w:p>
        </w:tc>
        <w:tc>
          <w:tcPr>
            <w:tcW w:w="1740" w:type="dxa"/>
            <w:tcBorders>
              <w:top w:val="nil"/>
              <w:left w:val="nil"/>
              <w:bottom w:val="single" w:color="000000" w:sz="8" w:space="0"/>
              <w:right w:val="single" w:color="000000" w:sz="8" w:space="0"/>
            </w:tcBorders>
            <w:vAlign w:val="center"/>
          </w:tcPr>
          <w:p>
            <w:pPr>
              <w:jc w:val="center"/>
              <w:rPr>
                <w:rFonts w:ascii="仿宋_GB2312" w:hAnsi="宋体" w:eastAsia="仿宋_GB2312" w:cs="仿宋_GB2312"/>
                <w:color w:val="000000"/>
                <w:sz w:val="24"/>
                <w:szCs w:val="24"/>
              </w:rPr>
            </w:pPr>
          </w:p>
        </w:tc>
      </w:tr>
      <w:tr>
        <w:tblPrEx>
          <w:tblCellMar>
            <w:top w:w="0" w:type="dxa"/>
            <w:left w:w="108" w:type="dxa"/>
            <w:bottom w:w="0" w:type="dxa"/>
            <w:right w:w="108" w:type="dxa"/>
          </w:tblCellMar>
        </w:tblPrEx>
        <w:trPr>
          <w:trHeight w:val="300" w:hRule="atLeast"/>
        </w:trPr>
        <w:tc>
          <w:tcPr>
            <w:tcW w:w="359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b/>
                <w:bCs/>
                <w:color w:val="000000"/>
                <w:kern w:val="0"/>
                <w:sz w:val="24"/>
                <w:szCs w:val="24"/>
              </w:rPr>
              <w:t>本年支出合计</w:t>
            </w:r>
          </w:p>
        </w:tc>
        <w:tc>
          <w:tcPr>
            <w:tcW w:w="1755" w:type="dxa"/>
            <w:tcBorders>
              <w:top w:val="nil"/>
              <w:left w:val="nil"/>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3209.70</w:t>
            </w:r>
          </w:p>
        </w:tc>
        <w:tc>
          <w:tcPr>
            <w:tcW w:w="1875" w:type="dxa"/>
            <w:tcBorders>
              <w:top w:val="nil"/>
              <w:left w:val="nil"/>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3875.48</w:t>
            </w:r>
          </w:p>
        </w:tc>
        <w:tc>
          <w:tcPr>
            <w:tcW w:w="1740" w:type="dxa"/>
            <w:tcBorders>
              <w:top w:val="nil"/>
              <w:left w:val="nil"/>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3875.48</w:t>
            </w:r>
          </w:p>
        </w:tc>
      </w:tr>
      <w:tr>
        <w:tblPrEx>
          <w:tblCellMar>
            <w:top w:w="0" w:type="dxa"/>
            <w:left w:w="108" w:type="dxa"/>
            <w:bottom w:w="0" w:type="dxa"/>
            <w:right w:w="108" w:type="dxa"/>
          </w:tblCellMar>
        </w:tblPrEx>
        <w:trPr>
          <w:trHeight w:val="360" w:hRule="atLeast"/>
        </w:trPr>
        <w:tc>
          <w:tcPr>
            <w:tcW w:w="359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一、年末财政拨款结转和结余</w:t>
            </w:r>
          </w:p>
        </w:tc>
        <w:tc>
          <w:tcPr>
            <w:tcW w:w="1755" w:type="dxa"/>
            <w:tcBorders>
              <w:top w:val="nil"/>
              <w:left w:val="nil"/>
              <w:bottom w:val="single" w:color="000000" w:sz="8" w:space="0"/>
              <w:right w:val="single" w:color="000000" w:sz="8" w:space="0"/>
            </w:tcBorders>
            <w:vAlign w:val="center"/>
          </w:tcPr>
          <w:p>
            <w:pPr>
              <w:jc w:val="center"/>
              <w:rPr>
                <w:rFonts w:ascii="仿宋_GB2312" w:hAnsi="宋体" w:eastAsia="仿宋_GB2312" w:cs="仿宋_GB2312"/>
                <w:color w:val="000000"/>
                <w:sz w:val="24"/>
                <w:szCs w:val="24"/>
              </w:rPr>
            </w:pPr>
          </w:p>
        </w:tc>
        <w:tc>
          <w:tcPr>
            <w:tcW w:w="1875" w:type="dxa"/>
            <w:tcBorders>
              <w:top w:val="nil"/>
              <w:left w:val="nil"/>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495.93</w:t>
            </w:r>
          </w:p>
        </w:tc>
        <w:tc>
          <w:tcPr>
            <w:tcW w:w="1740" w:type="dxa"/>
            <w:tcBorders>
              <w:top w:val="nil"/>
              <w:left w:val="nil"/>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495.93</w:t>
            </w:r>
          </w:p>
        </w:tc>
      </w:tr>
      <w:tr>
        <w:tblPrEx>
          <w:tblCellMar>
            <w:top w:w="0" w:type="dxa"/>
            <w:left w:w="108" w:type="dxa"/>
            <w:bottom w:w="0" w:type="dxa"/>
            <w:right w:w="108" w:type="dxa"/>
          </w:tblCellMar>
        </w:tblPrEx>
        <w:trPr>
          <w:trHeight w:val="392" w:hRule="atLeast"/>
        </w:trPr>
        <w:tc>
          <w:tcPr>
            <w:tcW w:w="359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b/>
                <w:bCs/>
                <w:color w:val="000000"/>
                <w:kern w:val="0"/>
                <w:sz w:val="24"/>
                <w:szCs w:val="24"/>
              </w:rPr>
              <w:t>总计</w:t>
            </w:r>
          </w:p>
        </w:tc>
        <w:tc>
          <w:tcPr>
            <w:tcW w:w="1755" w:type="dxa"/>
            <w:tcBorders>
              <w:top w:val="nil"/>
              <w:left w:val="nil"/>
              <w:bottom w:val="single" w:color="000000" w:sz="8" w:space="0"/>
              <w:right w:val="single" w:color="000000" w:sz="8" w:space="0"/>
            </w:tcBorders>
            <w:vAlign w:val="center"/>
          </w:tcPr>
          <w:p>
            <w:pPr>
              <w:jc w:val="center"/>
              <w:rPr>
                <w:rFonts w:ascii="仿宋_GB2312" w:hAnsi="宋体" w:eastAsia="仿宋_GB2312" w:cs="仿宋_GB2312"/>
                <w:color w:val="000000"/>
                <w:sz w:val="24"/>
                <w:szCs w:val="24"/>
              </w:rPr>
            </w:pPr>
          </w:p>
        </w:tc>
        <w:tc>
          <w:tcPr>
            <w:tcW w:w="1875" w:type="dxa"/>
            <w:tcBorders>
              <w:top w:val="nil"/>
              <w:left w:val="nil"/>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4371.41</w:t>
            </w:r>
          </w:p>
        </w:tc>
        <w:tc>
          <w:tcPr>
            <w:tcW w:w="1740" w:type="dxa"/>
            <w:tcBorders>
              <w:top w:val="nil"/>
              <w:left w:val="nil"/>
              <w:bottom w:val="single" w:color="000000" w:sz="8" w:space="0"/>
              <w:right w:val="single" w:color="000000" w:sz="8" w:space="0"/>
            </w:tcBorders>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4371.41</w:t>
            </w:r>
          </w:p>
        </w:tc>
      </w:tr>
    </w:tbl>
    <w:p>
      <w:pPr>
        <w:snapToGrid w:val="0"/>
        <w:spacing w:line="360" w:lineRule="auto"/>
        <w:ind w:firstLine="643" w:firstLineChars="200"/>
        <w:rPr>
          <w:rFonts w:ascii="仿宋_GB2312" w:hAnsi="楷体_GB2312" w:eastAsia="楷体_GB2312" w:cs="仿宋_GB2312"/>
          <w:b/>
          <w:bCs/>
          <w:sz w:val="32"/>
          <w:szCs w:val="32"/>
        </w:rPr>
      </w:pPr>
    </w:p>
    <w:p>
      <w:pPr>
        <w:snapToGrid w:val="0"/>
        <w:spacing w:line="360" w:lineRule="auto"/>
        <w:ind w:firstLine="640"/>
        <w:rPr>
          <w:rFonts w:ascii="仿宋_GB2312" w:hAnsi="仿宋_GB2312" w:eastAsia="仿宋_GB2312" w:cs="仿宋_GB2312"/>
          <w:sz w:val="32"/>
          <w:szCs w:val="32"/>
        </w:rPr>
      </w:pPr>
    </w:p>
    <w:p>
      <w:pPr>
        <w:snapToGrid w:val="0"/>
        <w:spacing w:line="360" w:lineRule="auto"/>
        <w:ind w:firstLine="640" w:firstLineChars="200"/>
        <w:rPr>
          <w:rFonts w:ascii="黑体" w:hAnsi="黑体" w:eastAsia="黑体" w:cs="黑体"/>
          <w:bCs/>
          <w:sz w:val="32"/>
          <w:szCs w:val="32"/>
        </w:rPr>
      </w:pPr>
      <w:r>
        <w:rPr>
          <w:rFonts w:hint="eastAsia" w:ascii="黑体" w:hAnsi="黑体" w:eastAsia="黑体" w:cs="黑体"/>
          <w:bCs/>
          <w:sz w:val="32"/>
          <w:szCs w:val="32"/>
        </w:rPr>
        <w:t>二、绩效自评情况</w:t>
      </w:r>
    </w:p>
    <w:p>
      <w:pPr>
        <w:snapToGri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（一）自评结论</w:t>
      </w:r>
    </w:p>
    <w:p>
      <w:pPr>
        <w:snapToGrid w:val="0"/>
        <w:spacing w:line="360" w:lineRule="auto"/>
        <w:ind w:firstLine="640" w:firstLineChars="2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本院2023年省级财政资金绩效自评只包括部门整体支出绩效自评，不涉及专项资金绩效自评。部门整体支出绩效自评包括部门预算基本支出、项目支出、其他事业发展支出的本级列支内容。根据部门整体支出绩效自评指标体系，分为履职效能和管理效率两个维度。经过自评，本院履职效能方面得分49.04分，该指标为50分，得分率98.08%。管理效率方面得分43.37分，该指标为50分，得分率86.74%。</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总得分92.41分。</w:t>
      </w:r>
    </w:p>
    <w:p>
      <w:pPr>
        <w:snapToGri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（二）履职效能分析</w:t>
      </w:r>
    </w:p>
    <w:p>
      <w:pPr>
        <w:pStyle w:val="2"/>
        <w:overflowPunct w:val="0"/>
        <w:topLinePunct/>
        <w:ind w:firstLine="595"/>
        <w:rPr>
          <w:rFonts w:ascii="方正黑体简体" w:eastAsia="方正黑体简体"/>
          <w:w w:val="96"/>
          <w:szCs w:val="32"/>
        </w:rPr>
      </w:pPr>
      <w:r>
        <w:rPr>
          <w:rFonts w:hint="eastAsia" w:ascii="方正黑体简体" w:eastAsia="方正黑体简体"/>
          <w:w w:val="93"/>
          <w:szCs w:val="32"/>
        </w:rPr>
        <w:t>一、以维护稳定为核心，全力服务保障党的二十大胜利召开</w:t>
      </w:r>
    </w:p>
    <w:p>
      <w:pPr>
        <w:pStyle w:val="2"/>
        <w:overflowPunct w:val="0"/>
        <w:topLinePunct/>
        <w:ind w:firstLine="640"/>
        <w:rPr>
          <w:rFonts w:cs="仿宋_GB2312" w:asciiTheme="minorEastAsia" w:hAnsiTheme="minorEastAsia" w:eastAsiaTheme="minorEastAsia"/>
          <w:szCs w:val="32"/>
        </w:rPr>
      </w:pPr>
      <w:r>
        <w:rPr>
          <w:rFonts w:hint="eastAsia" w:asciiTheme="minorEastAsia" w:hAnsiTheme="minorEastAsia" w:eastAsiaTheme="minorEastAsia"/>
          <w:szCs w:val="32"/>
        </w:rPr>
        <w:t>（一）重拳打击刑事犯罪。</w:t>
      </w:r>
      <w:r>
        <w:rPr>
          <w:rFonts w:hint="eastAsia" w:cs="仿宋_GB2312" w:asciiTheme="minorEastAsia" w:hAnsiTheme="minorEastAsia" w:eastAsiaTheme="minorEastAsia"/>
          <w:szCs w:val="32"/>
        </w:rPr>
        <w:t>依法批捕刑事案件248件327人，起诉822件1006人，提前介入刑事案件899件，重大案件提前介入率100%。从严从快打击涉疫犯罪，办理偷越国边境案件、走私冻品案件21件69人，提起涉走私冻品的刑事附带民事公益诉讼17件。常态化开展扫黑除恶斗争，持续打击治理电信网络犯罪，积极参与重点行业专项整治。高质量办好职务犯罪大要案，起诉刘某受贿、张某行贿等职务犯罪7件7人，持续在反腐败斗争中有效发挥检察职能作用。</w:t>
      </w:r>
    </w:p>
    <w:p>
      <w:pPr>
        <w:pStyle w:val="2"/>
        <w:overflowPunct w:val="0"/>
        <w:topLinePunct/>
        <w:ind w:firstLine="640"/>
        <w:rPr>
          <w:rFonts w:cs="仿宋_GB2312" w:asciiTheme="minorEastAsia" w:hAnsiTheme="minorEastAsia" w:eastAsiaTheme="minorEastAsia"/>
          <w:szCs w:val="32"/>
        </w:rPr>
      </w:pPr>
      <w:r>
        <w:rPr>
          <w:rFonts w:hint="eastAsia" w:asciiTheme="minorEastAsia" w:hAnsiTheme="minorEastAsia" w:eastAsiaTheme="minorEastAsia"/>
          <w:szCs w:val="32"/>
        </w:rPr>
        <w:t>（二）维护特殊群体权益。</w:t>
      </w:r>
      <w:r>
        <w:rPr>
          <w:rFonts w:hint="eastAsia" w:cs="仿宋_GB2312" w:asciiTheme="minorEastAsia" w:hAnsiTheme="minorEastAsia" w:eastAsiaTheme="minorEastAsia"/>
          <w:szCs w:val="32"/>
        </w:rPr>
        <w:t>深入开展打击整治养老诈骗专项行动，批捕4件4人，发出行政公益诉讼诉前检察建议2份，同时通过法治进乡村、进企业、进学校和党员义工下沉社区等方式，开展防范诈骗宣传教育。全力落实家庭教育促进法，开设“与法同行 安全相伴”专题普法课堂、家庭教育云课堂。纵深推进司法救助工作，共向46人发放司法救助金44.89万元。</w:t>
      </w:r>
    </w:p>
    <w:p>
      <w:pPr>
        <w:pStyle w:val="2"/>
        <w:overflowPunct w:val="0"/>
        <w:topLinePunct/>
        <w:ind w:firstLine="640"/>
        <w:rPr>
          <w:rFonts w:cs="仿宋_GB2312" w:asciiTheme="minorEastAsia" w:hAnsiTheme="minorEastAsia" w:eastAsiaTheme="minorEastAsia"/>
          <w:szCs w:val="32"/>
        </w:rPr>
      </w:pPr>
      <w:r>
        <w:rPr>
          <w:rFonts w:hint="eastAsia" w:asciiTheme="minorEastAsia" w:hAnsiTheme="minorEastAsia" w:eastAsiaTheme="minorEastAsia"/>
          <w:szCs w:val="32"/>
        </w:rPr>
        <w:t>（三）积极推进诉源治理。</w:t>
      </w:r>
      <w:r>
        <w:rPr>
          <w:rFonts w:hint="eastAsia" w:cs="仿宋_GB2312" w:asciiTheme="minorEastAsia" w:hAnsiTheme="minorEastAsia" w:eastAsiaTheme="minorEastAsia"/>
          <w:szCs w:val="32"/>
        </w:rPr>
        <w:t>紧紧围绕党的二十大、全国“两会”、北京冬奥会等重大敏感节点，加强信访风险排查，做好安保维稳值守，依法妥善处理群众来信来访208件。制定听证员选任管理办法，建立听证员库，举办公开听证23次。发出社会治理类检察建议104份，推动解决完善农村“三资”管理制度、健全企业货物管理机制等问题。</w:t>
      </w:r>
    </w:p>
    <w:p>
      <w:pPr>
        <w:pStyle w:val="2"/>
        <w:overflowPunct w:val="0"/>
        <w:topLinePunct/>
        <w:ind w:firstLine="608"/>
        <w:rPr>
          <w:rFonts w:ascii="方正黑体简体" w:eastAsia="方正黑体简体"/>
          <w:w w:val="95"/>
          <w:szCs w:val="32"/>
        </w:rPr>
      </w:pPr>
      <w:r>
        <w:rPr>
          <w:rFonts w:hint="eastAsia" w:ascii="方正黑体简体" w:eastAsia="方正黑体简体"/>
          <w:w w:val="95"/>
          <w:szCs w:val="32"/>
        </w:rPr>
        <w:t>二、以权益保护为目标，聚力护航新会经济社会高质量发展</w:t>
      </w:r>
    </w:p>
    <w:p>
      <w:pPr>
        <w:pStyle w:val="2"/>
        <w:overflowPunct w:val="0"/>
        <w:topLinePunct/>
        <w:ind w:firstLine="640"/>
        <w:rPr>
          <w:rFonts w:cs="仿宋_GB2312" w:asciiTheme="minorEastAsia" w:hAnsiTheme="minorEastAsia" w:eastAsiaTheme="minorEastAsia"/>
          <w:szCs w:val="32"/>
        </w:rPr>
      </w:pPr>
      <w:r>
        <w:rPr>
          <w:rFonts w:hint="eastAsia" w:asciiTheme="minorEastAsia" w:hAnsiTheme="minorEastAsia" w:eastAsiaTheme="minorEastAsia"/>
          <w:szCs w:val="32"/>
        </w:rPr>
        <w:t>（一）强化知识产权综合保护。</w:t>
      </w:r>
      <w:r>
        <w:rPr>
          <w:rFonts w:hint="eastAsia" w:cs="仿宋_GB2312" w:asciiTheme="minorEastAsia" w:hAnsiTheme="minorEastAsia" w:eastAsiaTheme="minorEastAsia"/>
          <w:szCs w:val="32"/>
        </w:rPr>
        <w:t>完善涉知识产权检察业务集中统一办理机制，以综合履职服务保障科技创新，依法办理涉知识产权刑事案件17件43人，涉案金额超过5000万元。郭某等13人特大跨境生产、销售假冒注册商标商品案入选“2021-2022年度知识产权保护十佳案例”，冬奥吉祥物知识产权保护一案检察建议入选全省行政检察十大优秀法律文书。</w:t>
      </w:r>
    </w:p>
    <w:p>
      <w:pPr>
        <w:pStyle w:val="2"/>
        <w:overflowPunct w:val="0"/>
        <w:topLinePunct/>
        <w:ind w:firstLine="640"/>
        <w:rPr>
          <w:rFonts w:cs="仿宋_GB2312" w:asciiTheme="minorEastAsia" w:hAnsiTheme="minorEastAsia" w:eastAsiaTheme="minorEastAsia"/>
          <w:szCs w:val="32"/>
        </w:rPr>
      </w:pPr>
      <w:r>
        <w:rPr>
          <w:rFonts w:hint="eastAsia" w:cs="楷体_GB2312" w:asciiTheme="minorEastAsia" w:hAnsiTheme="minorEastAsia" w:eastAsiaTheme="minorEastAsia"/>
          <w:szCs w:val="32"/>
        </w:rPr>
        <w:t>（二）全面推开企业合规改革试点。</w:t>
      </w:r>
      <w:r>
        <w:rPr>
          <w:rFonts w:hint="eastAsia" w:cs="仿宋_GB2312" w:asciiTheme="minorEastAsia" w:hAnsiTheme="minorEastAsia" w:eastAsiaTheme="minorEastAsia"/>
          <w:szCs w:val="32"/>
        </w:rPr>
        <w:t>建立健全涉案企业合规第三方监督评估机制，与区工商联、区司法局等部门组建涉案企业合规第三方监督评估机制管理委员会，惩治预防企业违法犯罪。协助省检察院举办以“企业合规：实践、理论及立法思考”为主题的“检察沙龙”基层行活动，为进一步深化推进企业合规凝聚智慧和力量。</w:t>
      </w:r>
    </w:p>
    <w:p>
      <w:pPr>
        <w:pStyle w:val="2"/>
        <w:overflowPunct w:val="0"/>
        <w:topLinePunct/>
        <w:ind w:firstLine="640"/>
        <w:rPr>
          <w:rFonts w:cs="仿宋_GB2312" w:asciiTheme="minorEastAsia" w:hAnsiTheme="minorEastAsia" w:eastAsiaTheme="minorEastAsia"/>
          <w:szCs w:val="32"/>
        </w:rPr>
      </w:pPr>
      <w:r>
        <w:rPr>
          <w:rFonts w:hint="eastAsia" w:cs="楷体_GB2312" w:asciiTheme="minorEastAsia" w:hAnsiTheme="minorEastAsia" w:eastAsiaTheme="minorEastAsia"/>
          <w:szCs w:val="32"/>
        </w:rPr>
        <w:t>（三）竭力服务“侨都赋能”。</w:t>
      </w:r>
      <w:r>
        <w:rPr>
          <w:rFonts w:hint="eastAsia" w:cs="仿宋_GB2312" w:asciiTheme="minorEastAsia" w:hAnsiTheme="minorEastAsia" w:eastAsiaTheme="minorEastAsia"/>
          <w:szCs w:val="32"/>
        </w:rPr>
        <w:t>持续推进“检侨·360”品牌建设，进一步健全涉侨检察业务集中办理、远程办理工作机制，并以检侨联络站为平台，积极做好侨资侨产侨益司法保护，该项工作得到省委、市委等上级领导肯定，获评全省检察机关党建业务深度融合最佳案例。开展涉侨不可移动文物专项监督，助推华侨及社会各界捐资120多万元修缮涉案梅阁码头旧址，以该案为蓝本制作专题宣传片《公益守护 百年码头里的风雨侨情》，通过多家华人华侨媒体传播到澳大利亚、德国等地。</w:t>
      </w:r>
    </w:p>
    <w:p>
      <w:pPr>
        <w:pStyle w:val="2"/>
        <w:overflowPunct w:val="0"/>
        <w:topLinePunct/>
        <w:ind w:firstLine="640"/>
        <w:rPr>
          <w:rFonts w:ascii="方正黑体简体" w:eastAsia="方正黑体简体"/>
          <w:szCs w:val="32"/>
        </w:rPr>
      </w:pPr>
      <w:r>
        <w:rPr>
          <w:rFonts w:hint="eastAsia" w:ascii="方正黑体简体" w:eastAsia="方正黑体简体"/>
          <w:szCs w:val="32"/>
        </w:rPr>
        <w:t>三、以“四大检察”为抓手，倾力加强新时代检察机关法律监督</w:t>
      </w:r>
    </w:p>
    <w:p>
      <w:pPr>
        <w:pStyle w:val="2"/>
        <w:overflowPunct w:val="0"/>
        <w:topLinePunct/>
        <w:ind w:firstLine="640"/>
        <w:rPr>
          <w:rFonts w:cs="仿宋_GB2312" w:asciiTheme="minorEastAsia" w:hAnsiTheme="minorEastAsia" w:eastAsiaTheme="minorEastAsia"/>
          <w:szCs w:val="32"/>
        </w:rPr>
      </w:pPr>
      <w:r>
        <w:rPr>
          <w:rFonts w:hint="eastAsia" w:cs="楷体_GB2312" w:asciiTheme="minorEastAsia" w:hAnsiTheme="minorEastAsia" w:eastAsiaTheme="minorEastAsia"/>
          <w:szCs w:val="32"/>
        </w:rPr>
        <w:t>（一）抓好刑事检察。</w:t>
      </w:r>
      <w:r>
        <w:rPr>
          <w:rFonts w:hint="eastAsia" w:cs="仿宋_GB2312" w:asciiTheme="minorEastAsia" w:hAnsiTheme="minorEastAsia" w:eastAsiaTheme="minorEastAsia"/>
          <w:szCs w:val="32"/>
        </w:rPr>
        <w:t>与新会公安分局联合成立“侦查监督与协作配合办公室”，强化提前介入、捕后引导侦查，监督立案、撤案41件，追捕、追诉62人。持续深化“海陆一体”平安新会建设，与海警部门联签协作意见，促进数据同步化，实现动态掌握海上刑事侦查活动信息。加强对刑罚执行的全方位监督，共发出社会治理类检察建议、检察监督意见等28份。</w:t>
      </w:r>
    </w:p>
    <w:p>
      <w:pPr>
        <w:pStyle w:val="2"/>
        <w:overflowPunct w:val="0"/>
        <w:topLinePunct/>
        <w:ind w:firstLine="640"/>
        <w:rPr>
          <w:rFonts w:cs="仿宋_GB2312" w:asciiTheme="minorEastAsia" w:hAnsiTheme="minorEastAsia" w:eastAsiaTheme="minorEastAsia"/>
          <w:szCs w:val="32"/>
        </w:rPr>
      </w:pPr>
      <w:r>
        <w:rPr>
          <w:rFonts w:hint="eastAsia" w:cs="楷体_GB2312" w:asciiTheme="minorEastAsia" w:hAnsiTheme="minorEastAsia" w:eastAsiaTheme="minorEastAsia"/>
          <w:szCs w:val="32"/>
        </w:rPr>
        <w:t>（二）抓深民事检察。</w:t>
      </w:r>
      <w:r>
        <w:rPr>
          <w:rFonts w:hint="eastAsia" w:cs="仿宋_GB2312" w:asciiTheme="minorEastAsia" w:hAnsiTheme="minorEastAsia" w:eastAsiaTheme="minorEastAsia"/>
          <w:szCs w:val="32"/>
        </w:rPr>
        <w:t>办理民事监督案件386件，发出再审检察建议、提请抗诉6件，规范民事执行和民事审判程序违法行为检察建议63份。与区法院联签办案规程，推动民事支持起诉与审判程序有效衔接，支持农民工、妇女、消费者等诉讼能力欠缺的弱势群体提起诉讼31件，保障特殊群体诉权，如与广州军事检察院联合办理全省首例军地检察机关联合支持民事起诉案件。</w:t>
      </w:r>
    </w:p>
    <w:p>
      <w:pPr>
        <w:pStyle w:val="2"/>
        <w:overflowPunct w:val="0"/>
        <w:topLinePunct/>
        <w:ind w:firstLine="640"/>
        <w:rPr>
          <w:rFonts w:cs="仿宋_GB2312" w:asciiTheme="minorEastAsia" w:hAnsiTheme="minorEastAsia" w:eastAsiaTheme="minorEastAsia"/>
          <w:szCs w:val="32"/>
        </w:rPr>
      </w:pPr>
      <w:r>
        <w:rPr>
          <w:rFonts w:hint="eastAsia" w:cs="楷体_GB2312" w:asciiTheme="minorEastAsia" w:hAnsiTheme="minorEastAsia" w:eastAsiaTheme="minorEastAsia"/>
          <w:szCs w:val="32"/>
        </w:rPr>
        <w:t>（三）抓实行政检察。</w:t>
      </w:r>
      <w:r>
        <w:rPr>
          <w:rFonts w:hint="eastAsia" w:cs="仿宋_GB2312" w:asciiTheme="minorEastAsia" w:hAnsiTheme="minorEastAsia" w:eastAsiaTheme="minorEastAsia"/>
          <w:szCs w:val="32"/>
        </w:rPr>
        <w:t>办理行政监督案件</w:t>
      </w:r>
      <w:r>
        <w:rPr>
          <w:rFonts w:cs="仿宋_GB2312" w:asciiTheme="minorEastAsia" w:hAnsiTheme="minorEastAsia" w:eastAsiaTheme="minorEastAsia"/>
          <w:szCs w:val="32"/>
        </w:rPr>
        <w:t>3</w:t>
      </w:r>
      <w:r>
        <w:rPr>
          <w:rFonts w:hint="eastAsia" w:cs="仿宋_GB2312" w:asciiTheme="minorEastAsia" w:hAnsiTheme="minorEastAsia" w:eastAsiaTheme="minorEastAsia"/>
          <w:szCs w:val="32"/>
        </w:rPr>
        <w:t>39件，发出行政违法行为监督、行政非诉执行监督等检察建议</w:t>
      </w:r>
      <w:r>
        <w:rPr>
          <w:rFonts w:cs="仿宋_GB2312" w:asciiTheme="minorEastAsia" w:hAnsiTheme="minorEastAsia" w:eastAsiaTheme="minorEastAsia"/>
          <w:szCs w:val="32"/>
        </w:rPr>
        <w:t>79</w:t>
      </w:r>
      <w:r>
        <w:rPr>
          <w:rFonts w:hint="eastAsia" w:cs="仿宋_GB2312" w:asciiTheme="minorEastAsia" w:hAnsiTheme="minorEastAsia" w:eastAsiaTheme="minorEastAsia"/>
          <w:szCs w:val="32"/>
        </w:rPr>
        <w:t>份。积极推动区委在全市率先以文件形式将检察监督纳入地方法治政府建设工作，创新建立“法治政府督察+检察”工作模式，形成由区委依法治区办统筹协调，区检察院、区司法局共同发力的协作监督机制，被省检察院确定为首批“加强新时代检察机关法律监督工作改革创新项目”。</w:t>
      </w:r>
    </w:p>
    <w:p>
      <w:pPr>
        <w:pStyle w:val="2"/>
        <w:overflowPunct w:val="0"/>
        <w:topLinePunct/>
        <w:ind w:firstLine="640"/>
        <w:rPr>
          <w:rFonts w:cs="仿宋_GB2312" w:asciiTheme="minorEastAsia" w:hAnsiTheme="minorEastAsia" w:eastAsiaTheme="minorEastAsia"/>
          <w:szCs w:val="32"/>
        </w:rPr>
      </w:pPr>
      <w:r>
        <w:rPr>
          <w:rFonts w:hint="eastAsia" w:cs="楷体_GB2312" w:asciiTheme="minorEastAsia" w:hAnsiTheme="minorEastAsia" w:eastAsiaTheme="minorEastAsia"/>
          <w:szCs w:val="32"/>
        </w:rPr>
        <w:t>（四）抓细公益诉讼。</w:t>
      </w:r>
      <w:r>
        <w:rPr>
          <w:rFonts w:hint="eastAsia" w:cs="仿宋_GB2312" w:asciiTheme="minorEastAsia" w:hAnsiTheme="minorEastAsia" w:eastAsiaTheme="minorEastAsia"/>
          <w:szCs w:val="32"/>
        </w:rPr>
        <w:t>办理公益诉讼案件150件，发出行政公益诉讼诉前检察建议、磋商106件，提起刑事附带民事公益诉讼25件。开展涉军公益诉讼“回头看”活动，辖区内旅游景点、公立医疗机构等单位对军人军属优待措施全面整改落实到位，有关做法被新华社刊发报道。开展耕地占用税征收管理检察公益诉讼专项行动，发现辖区内存在企业和个人未依法缴纳耕地占用税等问题，促成追征入库耕地占用税200多万元。加强跨区域检察机关公益诉讼协作配合，与珠海市斗门区检察院联签协作意见，共同守护虎跳门、崖门水道生态环境。</w:t>
      </w:r>
    </w:p>
    <w:p>
      <w:pPr>
        <w:pStyle w:val="2"/>
        <w:overflowPunct w:val="0"/>
        <w:topLinePunct/>
        <w:ind w:firstLine="640"/>
        <w:rPr>
          <w:rFonts w:cs="仿宋_GB2312"/>
          <w:szCs w:val="32"/>
        </w:rPr>
      </w:pPr>
      <w:r>
        <w:rPr>
          <w:rFonts w:hint="eastAsia" w:ascii="方正黑体简体" w:eastAsia="方正黑体简体"/>
          <w:szCs w:val="32"/>
        </w:rPr>
        <w:t>四、以提质增效为重点，努力开创检察事业发展新局面</w:t>
      </w:r>
    </w:p>
    <w:p>
      <w:pPr>
        <w:pStyle w:val="2"/>
        <w:overflowPunct w:val="0"/>
        <w:topLinePunct/>
        <w:ind w:firstLine="640"/>
        <w:rPr>
          <w:rFonts w:cs="仿宋_GB2312" w:asciiTheme="minorEastAsia" w:hAnsiTheme="minorEastAsia" w:eastAsiaTheme="minorEastAsia"/>
          <w:szCs w:val="32"/>
        </w:rPr>
      </w:pPr>
      <w:r>
        <w:rPr>
          <w:rFonts w:hint="eastAsia" w:cs="楷体_GB2312" w:asciiTheme="minorEastAsia" w:hAnsiTheme="minorEastAsia" w:eastAsiaTheme="minorEastAsia"/>
          <w:szCs w:val="32"/>
        </w:rPr>
        <w:t>（一）强化质量监控，提升办案质效。</w:t>
      </w:r>
      <w:r>
        <w:rPr>
          <w:rFonts w:hint="eastAsia" w:cs="仿宋_GB2312" w:asciiTheme="minorEastAsia" w:hAnsiTheme="minorEastAsia" w:eastAsiaTheme="minorEastAsia"/>
          <w:szCs w:val="32"/>
        </w:rPr>
        <w:t>聚焦司法办案关键环节，常态化开展分析会商，研判检察业务、案件质量评价指标情况，充分运用流程监控、督导检查、动态通报等方式，不断提升案件办理质效。全年诉前羁押率为24.6%、认罪认罚适用率为89.7%。</w:t>
      </w:r>
    </w:p>
    <w:p>
      <w:pPr>
        <w:pStyle w:val="2"/>
        <w:overflowPunct w:val="0"/>
        <w:topLinePunct/>
        <w:ind w:firstLine="640"/>
        <w:rPr>
          <w:rFonts w:cs="仿宋_GB2312" w:asciiTheme="minorEastAsia" w:hAnsiTheme="minorEastAsia" w:eastAsiaTheme="minorEastAsia"/>
          <w:szCs w:val="32"/>
        </w:rPr>
      </w:pPr>
      <w:r>
        <w:rPr>
          <w:rFonts w:hint="eastAsia" w:cs="楷体_GB2312" w:asciiTheme="minorEastAsia" w:hAnsiTheme="minorEastAsia" w:eastAsiaTheme="minorEastAsia"/>
          <w:szCs w:val="32"/>
        </w:rPr>
        <w:t>（二）突出类案研判，攻坚办案难题。</w:t>
      </w:r>
      <w:r>
        <w:rPr>
          <w:rFonts w:hint="eastAsia" w:cs="仿宋_GB2312" w:asciiTheme="minorEastAsia" w:hAnsiTheme="minorEastAsia" w:eastAsiaTheme="minorEastAsia"/>
          <w:szCs w:val="32"/>
        </w:rPr>
        <w:t>组建类案调研团队，应用“两法”衔接平台，统一公检法对拒不支付劳动报酬、走私国家禁止进出口的货物等类案的执法尺度，如依法对一起涉及1025名工人、涉案金额达680多万元的拒不支付劳动报酬案件进行立案监督，助力解决农民工“讨薪难”问题。聘请15名行政机关专业人员为特邀检察官助理，巧借“外脑”帮助解决司法实践中的“疑难杂症”，助力推动自然资源、农业农村、生态环保等领域案件办理提速增效。</w:t>
      </w:r>
    </w:p>
    <w:p>
      <w:pPr>
        <w:pStyle w:val="2"/>
        <w:overflowPunct w:val="0"/>
        <w:topLinePunct/>
        <w:ind w:firstLine="640"/>
        <w:rPr>
          <w:rFonts w:cs="仿宋_GB2312" w:asciiTheme="minorEastAsia" w:hAnsiTheme="minorEastAsia" w:eastAsiaTheme="minorEastAsia"/>
          <w:szCs w:val="32"/>
        </w:rPr>
      </w:pPr>
      <w:r>
        <w:rPr>
          <w:rFonts w:hint="eastAsia" w:cs="楷体_GB2312" w:asciiTheme="minorEastAsia" w:hAnsiTheme="minorEastAsia" w:eastAsiaTheme="minorEastAsia"/>
          <w:szCs w:val="32"/>
        </w:rPr>
        <w:t>（三）深化数字赋能，提升监督实效。</w:t>
      </w:r>
      <w:r>
        <w:rPr>
          <w:rFonts w:hint="eastAsia" w:cs="仿宋_GB2312" w:asciiTheme="minorEastAsia" w:hAnsiTheme="minorEastAsia" w:eastAsiaTheme="minorEastAsia"/>
          <w:szCs w:val="32"/>
        </w:rPr>
        <w:t>以检察大数据战略赋能法律监督，积极运用裁判文书网、行政执法信息公示平台、农村集体资产资源网上交易平台等，强化数据分析、比对、归纳，助力发现民事、行政检察监督线索，向有关部门发出涵盖387件个案的类案检察建议，推动社会抚养费政策衔接落实等工作。</w:t>
      </w:r>
    </w:p>
    <w:p>
      <w:pPr>
        <w:snapToGri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（三）管理效率分析</w:t>
      </w:r>
    </w:p>
    <w:p>
      <w:pPr>
        <w:snapToGrid w:val="0"/>
        <w:spacing w:line="360" w:lineRule="auto"/>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1、预算编制。</w:t>
      </w:r>
    </w:p>
    <w:p>
      <w:pPr>
        <w:snapToGrid w:val="0"/>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（1）新增项目事前绩效评估。</w:t>
      </w:r>
    </w:p>
    <w:p>
      <w:pPr>
        <w:snapToGrid w:val="0"/>
        <w:spacing w:line="360" w:lineRule="auto"/>
        <w:ind w:firstLine="64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该项指标反映部门对申请新增预算的入库项目开展事前绩效评估工作的落实情况。</w:t>
      </w:r>
    </w:p>
    <w:p>
      <w:pPr>
        <w:snapToGrid w:val="0"/>
        <w:spacing w:line="360" w:lineRule="auto"/>
        <w:ind w:firstLine="640"/>
        <w:rPr>
          <w:rFonts w:ascii="仿宋_GB2312" w:hAnsi="仿宋_GB2312" w:eastAsia="仿宋_GB2312" w:cs="仿宋_GB2312"/>
          <w:sz w:val="32"/>
          <w:szCs w:val="32"/>
        </w:rPr>
      </w:pPr>
      <w:r>
        <w:rPr>
          <w:rFonts w:hint="eastAsia" w:cs="仿宋_GB2312" w:asciiTheme="minorEastAsia" w:hAnsiTheme="minorEastAsia" w:eastAsiaTheme="minorEastAsia"/>
          <w:sz w:val="32"/>
          <w:szCs w:val="32"/>
        </w:rPr>
        <w:t>本院2022年度没有新增预算入库项目。根据评分规则，本指标分值2分，得2分，得分率为100%。</w:t>
      </w:r>
    </w:p>
    <w:p>
      <w:pPr>
        <w:numPr>
          <w:ilvl w:val="0"/>
          <w:numId w:val="1"/>
        </w:numPr>
        <w:snapToGrid w:val="0"/>
        <w:spacing w:line="360" w:lineRule="auto"/>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预算执行。</w:t>
      </w:r>
    </w:p>
    <w:p>
      <w:pPr>
        <w:numPr>
          <w:ilvl w:val="0"/>
          <w:numId w:val="2"/>
        </w:numPr>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预算编制约束性。</w:t>
      </w:r>
    </w:p>
    <w:p>
      <w:pPr>
        <w:snapToGrid w:val="0"/>
        <w:spacing w:line="360" w:lineRule="auto"/>
        <w:ind w:left="64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该项指标反映部门预算的调剂情况、年中追加资金情况。</w:t>
      </w:r>
    </w:p>
    <w:p>
      <w:pPr>
        <w:snapToGrid w:val="0"/>
        <w:spacing w:line="360" w:lineRule="auto"/>
        <w:ind w:firstLine="640" w:firstLineChars="2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本院2022年度预算编制、分配符合部门职责，能根据年度工作重点，在不同项目、不同用途之间进行财政资源分配，大部分项目的预算编制基本合理。专项资金编制细化程度合理，未出现因年中调剂导致部门预决算差异过大的问题，功能分类和经济分类编制准确，年度中间无大量调剂，项目之间未频繁调剂。不存在项目支出完成不理想但连年持续安排预算的情况。根据省财政厅提供的数据和评分规则，本指标分值4分，得3.97分，得分率为99.25%。</w:t>
      </w:r>
    </w:p>
    <w:p>
      <w:pPr>
        <w:numPr>
          <w:ilvl w:val="0"/>
          <w:numId w:val="2"/>
        </w:numPr>
        <w:snapToGrid w:val="0"/>
        <w:spacing w:line="360" w:lineRule="auto"/>
        <w:rPr>
          <w:rFonts w:ascii="仿宋_GB2312" w:hAnsi="黑体" w:eastAsia="仿宋_GB2312" w:cs="仿宋_GB2312"/>
          <w:sz w:val="32"/>
          <w:szCs w:val="32"/>
        </w:rPr>
      </w:pPr>
      <w:r>
        <w:rPr>
          <w:rFonts w:hint="eastAsia" w:ascii="仿宋_GB2312" w:hAnsi="黑体" w:eastAsia="仿宋_GB2312" w:cs="仿宋_GB2312"/>
          <w:sz w:val="32"/>
          <w:szCs w:val="32"/>
        </w:rPr>
        <w:t>财务管理合规性。</w:t>
      </w:r>
    </w:p>
    <w:p>
      <w:pPr>
        <w:snapToGrid w:val="0"/>
        <w:spacing w:line="360" w:lineRule="auto"/>
        <w:ind w:left="64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该项指标反映部门（单位）财务管理的规范性。</w:t>
      </w:r>
    </w:p>
    <w:p>
      <w:pPr>
        <w:snapToGrid w:val="0"/>
        <w:spacing w:line="360" w:lineRule="auto"/>
        <w:ind w:firstLine="640" w:firstLineChars="200"/>
        <w:rPr>
          <w:rFonts w:ascii="仿宋_GB2312" w:hAnsi="仿宋_GB2312" w:eastAsia="仿宋_GB2312" w:cs="仿宋_GB2312"/>
          <w:sz w:val="32"/>
          <w:szCs w:val="32"/>
        </w:rPr>
      </w:pPr>
      <w:r>
        <w:rPr>
          <w:rFonts w:hint="eastAsia" w:cs="仿宋_GB2312" w:asciiTheme="minorEastAsia" w:hAnsiTheme="minorEastAsia" w:eastAsiaTheme="minorEastAsia"/>
          <w:sz w:val="32"/>
          <w:szCs w:val="32"/>
        </w:rPr>
        <w:t>本院修订完善各项财务管理制度。牢固树立“过紧日子”的思想，严格执行财务制度规定的经费开支范围、项目和标准，确保各项经费支出做到事前审批、事中监督、事后检查。严格“三公”经费、会议费、培训费等一般性经费支出管理，控制在考核基数之内。根据评分规则，本指标分值3分，得3分，得分率为100%</w:t>
      </w:r>
      <w:r>
        <w:rPr>
          <w:rFonts w:hint="eastAsia" w:ascii="仿宋_GB2312" w:hAnsi="黑体" w:eastAsia="仿宋_GB2312" w:cs="仿宋_GB2312"/>
          <w:sz w:val="32"/>
          <w:szCs w:val="32"/>
        </w:rPr>
        <w:t>。</w:t>
      </w:r>
    </w:p>
    <w:p>
      <w:pPr>
        <w:numPr>
          <w:ilvl w:val="0"/>
          <w:numId w:val="1"/>
        </w:numPr>
        <w:snapToGrid w:val="0"/>
        <w:spacing w:line="360" w:lineRule="auto"/>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信息公开。</w:t>
      </w:r>
    </w:p>
    <w:p>
      <w:pPr>
        <w:numPr>
          <w:ilvl w:val="0"/>
          <w:numId w:val="3"/>
        </w:numPr>
        <w:snapToGrid w:val="0"/>
        <w:spacing w:line="360" w:lineRule="auto"/>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预决算公开合规性。</w:t>
      </w:r>
    </w:p>
    <w:p>
      <w:pPr>
        <w:snapToGrid w:val="0"/>
        <w:spacing w:line="360" w:lineRule="auto"/>
        <w:ind w:firstLine="64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该项指标反映部门（单位）预算决算公开执行的到位情况。</w:t>
      </w:r>
    </w:p>
    <w:p>
      <w:pPr>
        <w:spacing w:line="360" w:lineRule="auto"/>
        <w:ind w:firstLine="570"/>
        <w:rPr>
          <w:rFonts w:ascii="仿宋_GB2312" w:hAnsi="仿宋_GB2312" w:eastAsia="仿宋_GB2312" w:cs="仿宋_GB2312"/>
          <w:sz w:val="32"/>
          <w:szCs w:val="32"/>
        </w:rPr>
      </w:pPr>
      <w:r>
        <w:rPr>
          <w:rFonts w:hint="eastAsia" w:cs="仿宋_GB2312" w:asciiTheme="minorEastAsia" w:hAnsiTheme="minorEastAsia" w:eastAsiaTheme="minorEastAsia"/>
          <w:sz w:val="32"/>
          <w:szCs w:val="32"/>
        </w:rPr>
        <w:t>本院2022年部门预算和部门决算均已在规定的时间内按要求公开，符合公开要求。具体包括：一是能在门户网站公开，并永久保留。二是使用省模板公开，符合预算公开有关要求。三是公开内容完整。四是预决算公开的内容均已细化，一般公共预算支出情况表按功能分类公开到项级科目、按经济分类公开到款级科目，“三公”经费支出及“公务用车购置和运行费”按规定的细化程度公开，且能说明增减变化原因。五是预决算公开及时。本检察院于2022年2月21日在部门门户网站上公开预算信息，于2022年8月19日在部门门户网站上公开决算信息，均在预决算批复后20天内公开，符合《预算法》等文件的有关要求。根据省财政厅提供的数据和评分规则，该指标2分，得2分，得分率为100%。</w:t>
      </w:r>
    </w:p>
    <w:p>
      <w:pPr>
        <w:numPr>
          <w:ilvl w:val="0"/>
          <w:numId w:val="3"/>
        </w:numPr>
        <w:snapToGrid w:val="0"/>
        <w:spacing w:line="360" w:lineRule="auto"/>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绩效信息公开情况。</w:t>
      </w:r>
    </w:p>
    <w:p>
      <w:pPr>
        <w:snapToGrid w:val="0"/>
        <w:spacing w:line="360" w:lineRule="auto"/>
        <w:ind w:firstLine="64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该项指标反映部门（单位）绩效信息公开执行到位情况。</w:t>
      </w:r>
    </w:p>
    <w:p>
      <w:pPr>
        <w:snapToGrid w:val="0"/>
        <w:spacing w:line="360" w:lineRule="auto"/>
        <w:ind w:firstLine="64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本院部门绩效目标和绩效自评资料体现在部门决算报告中，随着部门决算的公开已公开。部门整体支出绩效自评目前正在做，待完成后在部门门户网站公开。根据省财政厅提供的数据和评分规则，该指标1分，得1分，得分率为100%。</w:t>
      </w:r>
    </w:p>
    <w:p>
      <w:pPr>
        <w:numPr>
          <w:ilvl w:val="0"/>
          <w:numId w:val="1"/>
        </w:numPr>
        <w:snapToGrid w:val="0"/>
        <w:spacing w:line="360" w:lineRule="auto"/>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绩效管理。</w:t>
      </w:r>
    </w:p>
    <w:p>
      <w:pPr>
        <w:numPr>
          <w:ilvl w:val="0"/>
          <w:numId w:val="4"/>
        </w:num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绩效管理制度建设。</w:t>
      </w:r>
    </w:p>
    <w:p>
      <w:pPr>
        <w:snapToGrid w:val="0"/>
        <w:spacing w:line="360" w:lineRule="auto"/>
        <w:ind w:firstLine="640" w:firstLineChars="2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该项指标反映部门对机关和下属单位绩效目标管理、绩效运行监控、绩效评价管理和评估结果应用等预算绩效管理制度的建设情况。</w:t>
      </w:r>
    </w:p>
    <w:p>
      <w:pPr>
        <w:snapToGrid w:val="0"/>
        <w:spacing w:line="360" w:lineRule="auto"/>
        <w:ind w:firstLine="640" w:firstLineChars="200"/>
        <w:rPr>
          <w:rFonts w:ascii="仿宋_GB2312" w:hAnsi="仿宋_GB2312" w:eastAsia="仿宋_GB2312" w:cs="仿宋_GB2312"/>
          <w:sz w:val="32"/>
          <w:szCs w:val="32"/>
        </w:rPr>
      </w:pPr>
      <w:r>
        <w:rPr>
          <w:rFonts w:hint="eastAsia" w:cs="仿宋_GB2312" w:asciiTheme="minorEastAsia" w:hAnsiTheme="minorEastAsia" w:eastAsiaTheme="minorEastAsia"/>
          <w:sz w:val="32"/>
          <w:szCs w:val="32"/>
        </w:rPr>
        <w:t>本院制定的《新会区人民检察院财务管理制度》(新检[2019]10号）包含绩效管理、绩效评价表述，但未能明确绩效目标管理、绩效运行监控、绩效评价管理和评估结果应用等绩效管理内容。根据评分规则，该指标5分，得0分，得分率为0%。</w:t>
      </w:r>
    </w:p>
    <w:p>
      <w:pPr>
        <w:snapToGrid w:val="0"/>
        <w:spacing w:line="360" w:lineRule="auto"/>
        <w:ind w:firstLine="640" w:firstLineChars="2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改进措施：根据《财政部最高人民检察院关于印发&lt;人民检察院财务管理办法&gt;的通知》（财行[2021]408号)，尽快修订我院财务制度,做到绩效要求贯穿财务管理过程，以符合绩效管理制度建设的要求。</w:t>
      </w:r>
    </w:p>
    <w:p>
      <w:pPr>
        <w:numPr>
          <w:ilvl w:val="0"/>
          <w:numId w:val="4"/>
        </w:num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绩效管理制度执行。</w:t>
      </w:r>
    </w:p>
    <w:p>
      <w:pPr>
        <w:snapToGrid w:val="0"/>
        <w:spacing w:line="360" w:lineRule="auto"/>
        <w:ind w:firstLine="640" w:firstLineChars="2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该项指标反映部门和下属单位在绩效目标管理、绩效运行监控、绩效评价管理和评估结果运用等方面的执行情况。</w:t>
      </w:r>
    </w:p>
    <w:p>
      <w:pPr>
        <w:snapToGrid w:val="0"/>
        <w:spacing w:line="360" w:lineRule="auto"/>
        <w:ind w:firstLine="640" w:firstLineChars="200"/>
        <w:rPr>
          <w:rFonts w:ascii="仿宋_GB2312" w:hAnsi="仿宋_GB2312" w:eastAsia="仿宋_GB2312" w:cs="仿宋_GB2312"/>
          <w:sz w:val="32"/>
          <w:szCs w:val="32"/>
        </w:rPr>
      </w:pPr>
      <w:r>
        <w:rPr>
          <w:rFonts w:hint="eastAsia" w:cs="仿宋_GB2312" w:asciiTheme="minorEastAsia" w:hAnsiTheme="minorEastAsia" w:eastAsiaTheme="minorEastAsia"/>
          <w:sz w:val="32"/>
          <w:szCs w:val="32"/>
        </w:rPr>
        <w:t>本院在绩效目标管理、绩效运行监控、绩效评价管理和评价结果应用等方面严格执行相关规定，对重点评价意见的整改情况及时反馈。根据省财政厅提供的数据和评分规则，该指标10分，得9.5分，得分率为95%。</w:t>
      </w:r>
    </w:p>
    <w:p>
      <w:pPr>
        <w:numPr>
          <w:ilvl w:val="0"/>
          <w:numId w:val="1"/>
        </w:numPr>
        <w:snapToGrid w:val="0"/>
        <w:spacing w:line="360" w:lineRule="auto"/>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采购管理。</w:t>
      </w:r>
    </w:p>
    <w:p>
      <w:pPr>
        <w:numPr>
          <w:ilvl w:val="0"/>
          <w:numId w:val="5"/>
        </w:numPr>
        <w:snapToGrid w:val="0"/>
        <w:spacing w:line="360" w:lineRule="auto"/>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采购意向公开合规性。</w:t>
      </w:r>
    </w:p>
    <w:p>
      <w:pPr>
        <w:snapToGrid w:val="0"/>
        <w:spacing w:line="360" w:lineRule="auto"/>
        <w:ind w:firstLine="64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该项指标反映采购意向公开、采购投诉处理、合同备案公开等情况。</w:t>
      </w:r>
    </w:p>
    <w:p>
      <w:pPr>
        <w:snapToGrid w:val="0"/>
        <w:spacing w:line="360" w:lineRule="auto"/>
        <w:ind w:firstLine="64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本院严格遵守政府采购的相关规定，纳入部门预算的采购项目，百分之百及时进行政府采购意向公开，采购合同及时在“广东省政府采购网”备案公开，2022年度未发生采购投诉情况。根据省财政厅提供的数据和评分规则，该指标2分，得2分，得分率为100%。</w:t>
      </w:r>
    </w:p>
    <w:p>
      <w:pPr>
        <w:numPr>
          <w:ilvl w:val="0"/>
          <w:numId w:val="5"/>
        </w:numPr>
        <w:snapToGrid w:val="0"/>
        <w:spacing w:line="360" w:lineRule="auto"/>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采购内控制度建设</w:t>
      </w:r>
    </w:p>
    <w:p>
      <w:pPr>
        <w:snapToGrid w:val="0"/>
        <w:spacing w:line="360" w:lineRule="auto"/>
        <w:ind w:firstLine="640" w:firstLineChars="2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该项指标反映部门政府采购内部控制管理制度建设情况。</w:t>
      </w:r>
    </w:p>
    <w:p>
      <w:pPr>
        <w:snapToGrid w:val="0"/>
        <w:spacing w:line="360" w:lineRule="auto"/>
        <w:ind w:firstLine="640" w:firstLineChars="2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本院建立政府采购内部控制管理制度，未报财政部门备案。根据省财政厅提供的数据和评分规则，该指标1分，得0.5分，得分率为50%。</w:t>
      </w:r>
    </w:p>
    <w:p>
      <w:pPr>
        <w:snapToGrid w:val="0"/>
        <w:spacing w:line="360" w:lineRule="auto"/>
        <w:ind w:firstLine="640" w:firstLineChars="2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改进措施：尽快向财政部门报备政府采购内控管理制度，以符合采购管理制度要求。</w:t>
      </w:r>
    </w:p>
    <w:p>
      <w:pPr>
        <w:numPr>
          <w:ilvl w:val="0"/>
          <w:numId w:val="5"/>
        </w:numPr>
        <w:snapToGrid w:val="0"/>
        <w:spacing w:line="360" w:lineRule="auto"/>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采购活动合规性</w:t>
      </w:r>
    </w:p>
    <w:p>
      <w:pPr>
        <w:snapToGrid w:val="0"/>
        <w:spacing w:line="360" w:lineRule="auto"/>
        <w:ind w:left="64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该项指标反映部门政府采购活动合法合规性情况。</w:t>
      </w:r>
    </w:p>
    <w:p>
      <w:pPr>
        <w:snapToGrid w:val="0"/>
        <w:spacing w:line="360" w:lineRule="auto"/>
        <w:ind w:firstLine="640" w:firstLineChars="2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本院严格遵守政府采购的相关规定，2022年未发生采购投诉情况。根据省财政厅提供的数据和评分规则，该指标2分，得2分，得分率为100%。</w:t>
      </w:r>
    </w:p>
    <w:p>
      <w:pPr>
        <w:numPr>
          <w:ilvl w:val="0"/>
          <w:numId w:val="5"/>
        </w:numPr>
        <w:snapToGrid w:val="0"/>
        <w:spacing w:line="360" w:lineRule="auto"/>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采购合同签订时效性</w:t>
      </w:r>
    </w:p>
    <w:p>
      <w:pPr>
        <w:snapToGrid w:val="0"/>
        <w:spacing w:line="360" w:lineRule="auto"/>
        <w:ind w:left="64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该项指标反映政府采购合同签订及时性情况。</w:t>
      </w:r>
    </w:p>
    <w:p>
      <w:pPr>
        <w:snapToGrid w:val="0"/>
        <w:spacing w:line="360" w:lineRule="auto"/>
        <w:ind w:firstLine="566" w:firstLineChars="177"/>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本院严格遵守政府采购的相关规定，与中标、成交供应商应当在中标、成交通知书发出之日起三十日内，按照采购文件确定的事项签订政府采购合同。根据省财政厅提供的数据和评分规则，该指标3分，得3分，得分率为100%。</w:t>
      </w:r>
    </w:p>
    <w:p>
      <w:pPr>
        <w:numPr>
          <w:ilvl w:val="0"/>
          <w:numId w:val="5"/>
        </w:numPr>
        <w:snapToGrid w:val="0"/>
        <w:spacing w:line="360" w:lineRule="auto"/>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采购政策效能。</w:t>
      </w:r>
    </w:p>
    <w:p>
      <w:pPr>
        <w:snapToGrid w:val="0"/>
        <w:spacing w:line="360" w:lineRule="auto"/>
        <w:ind w:left="64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该项指标反映部门采购政策执行的效能情况。</w:t>
      </w:r>
    </w:p>
    <w:p>
      <w:pPr>
        <w:snapToGrid w:val="0"/>
        <w:spacing w:line="360" w:lineRule="auto"/>
        <w:ind w:firstLine="640"/>
        <w:rPr>
          <w:rFonts w:ascii="仿宋_GB2312" w:hAnsi="仿宋_GB2312" w:eastAsia="仿宋_GB2312" w:cs="仿宋_GB2312"/>
          <w:sz w:val="32"/>
          <w:szCs w:val="32"/>
        </w:rPr>
      </w:pPr>
      <w:r>
        <w:rPr>
          <w:rFonts w:hint="eastAsia" w:cs="仿宋_GB2312" w:asciiTheme="minorEastAsia" w:hAnsiTheme="minorEastAsia" w:eastAsiaTheme="minorEastAsia"/>
          <w:sz w:val="32"/>
          <w:szCs w:val="32"/>
        </w:rPr>
        <w:t>本院在政府采购执行过程中，能够按照《政府采购促进中小企业发展管理办法》要求为中小企业预留采购份额。根据省财政厅提供的数据和评分规则，该指标1分，得1分，得分率为100%。</w:t>
      </w:r>
    </w:p>
    <w:p>
      <w:pPr>
        <w:numPr>
          <w:ilvl w:val="0"/>
          <w:numId w:val="1"/>
        </w:numPr>
        <w:snapToGrid w:val="0"/>
        <w:spacing w:line="360" w:lineRule="auto"/>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资产管理。</w:t>
      </w:r>
    </w:p>
    <w:p>
      <w:pPr>
        <w:numPr>
          <w:ilvl w:val="0"/>
          <w:numId w:val="6"/>
        </w:numPr>
        <w:snapToGrid w:val="0"/>
        <w:spacing w:line="360" w:lineRule="auto"/>
        <w:ind w:left="630"/>
        <w:rPr>
          <w:rFonts w:ascii="仿宋_GB2312" w:hAnsi="仿宋_GB2312" w:eastAsia="仿宋_GB2312" w:cs="仿宋_GB2312"/>
          <w:sz w:val="32"/>
          <w:szCs w:val="32"/>
        </w:rPr>
      </w:pPr>
      <w:r>
        <w:rPr>
          <w:rFonts w:hint="eastAsia" w:ascii="仿宋_GB2312" w:hAnsi="仿宋_GB2312" w:eastAsia="仿宋_GB2312" w:cs="仿宋_GB2312"/>
          <w:sz w:val="32"/>
          <w:szCs w:val="32"/>
        </w:rPr>
        <w:t>资产配置合规性。</w:t>
      </w:r>
    </w:p>
    <w:p>
      <w:pPr>
        <w:snapToGrid w:val="0"/>
        <w:spacing w:line="360" w:lineRule="auto"/>
        <w:ind w:firstLine="64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该项指标反映单位办公室面积和办公设备配置是否超过规定标准。</w:t>
      </w:r>
    </w:p>
    <w:p>
      <w:pPr>
        <w:snapToGrid w:val="0"/>
        <w:spacing w:line="360" w:lineRule="auto"/>
        <w:ind w:firstLine="640"/>
        <w:rPr>
          <w:rFonts w:ascii="仿宋_GB2312" w:hAnsi="黑体" w:eastAsia="仿宋_GB2312" w:cs="仿宋_GB2312"/>
          <w:sz w:val="32"/>
          <w:szCs w:val="32"/>
        </w:rPr>
      </w:pPr>
      <w:r>
        <w:rPr>
          <w:rFonts w:hint="eastAsia" w:cs="仿宋_GB2312" w:asciiTheme="minorEastAsia" w:hAnsiTheme="minorEastAsia" w:eastAsiaTheme="minorEastAsia"/>
          <w:sz w:val="32"/>
          <w:szCs w:val="32"/>
        </w:rPr>
        <w:t>本院的办公室面积和办公设备配置严格按照规定标准执行，不存在超标准超规格的情况。根据评分规则，该指标2分，得2分，得分率为100%。</w:t>
      </w:r>
    </w:p>
    <w:p>
      <w:pPr>
        <w:numPr>
          <w:ilvl w:val="0"/>
          <w:numId w:val="6"/>
        </w:numPr>
        <w:snapToGrid w:val="0"/>
        <w:spacing w:line="360" w:lineRule="auto"/>
        <w:ind w:left="630"/>
        <w:rPr>
          <w:rFonts w:ascii="仿宋_GB2312" w:hAnsi="黑体" w:eastAsia="仿宋_GB2312" w:cs="仿宋_GB2312"/>
          <w:sz w:val="32"/>
          <w:szCs w:val="32"/>
        </w:rPr>
      </w:pPr>
      <w:r>
        <w:rPr>
          <w:rFonts w:hint="eastAsia" w:ascii="仿宋_GB2312" w:hAnsi="黑体" w:eastAsia="仿宋_GB2312" w:cs="仿宋_GB2312"/>
          <w:sz w:val="32"/>
          <w:szCs w:val="32"/>
        </w:rPr>
        <w:t>资产收益上缴的及时性。</w:t>
      </w:r>
    </w:p>
    <w:p>
      <w:pPr>
        <w:snapToGrid w:val="0"/>
        <w:spacing w:line="360" w:lineRule="auto"/>
        <w:ind w:left="64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该项指标反映单位资产处置和使用收益上缴的及时性。</w:t>
      </w:r>
    </w:p>
    <w:p>
      <w:pPr>
        <w:snapToGrid w:val="0"/>
        <w:spacing w:line="360" w:lineRule="auto"/>
        <w:ind w:firstLine="640"/>
        <w:rPr>
          <w:rFonts w:ascii="仿宋_GB2312" w:hAnsi="黑体" w:eastAsia="仿宋_GB2312" w:cs="仿宋_GB2312"/>
          <w:sz w:val="32"/>
          <w:szCs w:val="32"/>
        </w:rPr>
      </w:pPr>
      <w:r>
        <w:rPr>
          <w:rFonts w:hint="eastAsia" w:cs="仿宋_GB2312" w:asciiTheme="minorEastAsia" w:hAnsiTheme="minorEastAsia" w:eastAsiaTheme="minorEastAsia"/>
          <w:sz w:val="32"/>
          <w:szCs w:val="32"/>
        </w:rPr>
        <w:t>本院的资产按规定流程审批处置，资产处置收益及时上缴财政。2022年没有资产处置和使用收益。根据评分规则，该指标1分，得1分，得分率为100%。</w:t>
      </w:r>
    </w:p>
    <w:p>
      <w:pPr>
        <w:numPr>
          <w:ilvl w:val="0"/>
          <w:numId w:val="6"/>
        </w:numPr>
        <w:snapToGrid w:val="0"/>
        <w:spacing w:line="360" w:lineRule="auto"/>
        <w:ind w:left="0" w:firstLine="707" w:firstLineChars="221"/>
        <w:rPr>
          <w:rFonts w:ascii="仿宋_GB2312" w:hAnsi="黑体" w:eastAsia="仿宋_GB2312" w:cs="仿宋_GB2312"/>
          <w:sz w:val="32"/>
          <w:szCs w:val="32"/>
        </w:rPr>
      </w:pPr>
      <w:r>
        <w:rPr>
          <w:rFonts w:hint="eastAsia" w:ascii="仿宋_GB2312" w:hAnsi="黑体" w:eastAsia="仿宋_GB2312" w:cs="仿宋_GB2312"/>
          <w:sz w:val="32"/>
          <w:szCs w:val="32"/>
        </w:rPr>
        <w:t>资产盘点情况。</w:t>
      </w:r>
    </w:p>
    <w:p>
      <w:pPr>
        <w:snapToGrid w:val="0"/>
        <w:spacing w:line="360" w:lineRule="auto"/>
        <w:ind w:left="64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该项指标反映单位是否每年按要求进行资产盘点。</w:t>
      </w:r>
    </w:p>
    <w:p>
      <w:pPr>
        <w:snapToGrid w:val="0"/>
        <w:spacing w:line="360" w:lineRule="auto"/>
        <w:ind w:firstLine="640"/>
        <w:rPr>
          <w:rFonts w:ascii="仿宋_GB2312" w:hAnsi="黑体" w:eastAsia="仿宋_GB2312" w:cs="仿宋_GB2312"/>
          <w:sz w:val="32"/>
          <w:szCs w:val="32"/>
        </w:rPr>
      </w:pPr>
      <w:r>
        <w:rPr>
          <w:rFonts w:hint="eastAsia" w:cs="仿宋_GB2312" w:asciiTheme="minorEastAsia" w:hAnsiTheme="minorEastAsia" w:eastAsiaTheme="minorEastAsia"/>
          <w:sz w:val="32"/>
          <w:szCs w:val="32"/>
        </w:rPr>
        <w:t>本院按规定组织开展2022年国有资产盘点工作，并完成结果处理。根据评分规则，该指标1分，得1分，得分率为100%。</w:t>
      </w:r>
    </w:p>
    <w:p>
      <w:pPr>
        <w:numPr>
          <w:ilvl w:val="0"/>
          <w:numId w:val="6"/>
        </w:numPr>
        <w:snapToGrid w:val="0"/>
        <w:spacing w:line="360" w:lineRule="auto"/>
        <w:ind w:left="630"/>
        <w:rPr>
          <w:rFonts w:ascii="仿宋_GB2312" w:hAnsi="黑体" w:eastAsia="仿宋_GB2312" w:cs="仿宋_GB2312"/>
          <w:sz w:val="32"/>
          <w:szCs w:val="32"/>
        </w:rPr>
      </w:pPr>
      <w:r>
        <w:rPr>
          <w:rFonts w:hint="eastAsia" w:ascii="仿宋_GB2312" w:hAnsi="黑体" w:eastAsia="仿宋_GB2312" w:cs="仿宋_GB2312"/>
          <w:sz w:val="32"/>
          <w:szCs w:val="32"/>
        </w:rPr>
        <w:t>数据质量。</w:t>
      </w:r>
    </w:p>
    <w:p>
      <w:pPr>
        <w:snapToGrid w:val="0"/>
        <w:spacing w:line="360" w:lineRule="auto"/>
        <w:ind w:firstLine="640" w:firstLineChars="2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该项指标反映部门（单位）行政事业性国有资产年报数据质量。</w:t>
      </w:r>
    </w:p>
    <w:p>
      <w:pPr>
        <w:snapToGrid w:val="0"/>
        <w:spacing w:line="360" w:lineRule="auto"/>
        <w:ind w:firstLine="640"/>
        <w:rPr>
          <w:rFonts w:ascii="仿宋_GB2312" w:hAnsi="黑体" w:eastAsia="仿宋_GB2312" w:cs="仿宋_GB2312"/>
          <w:sz w:val="32"/>
          <w:szCs w:val="32"/>
        </w:rPr>
      </w:pPr>
      <w:r>
        <w:rPr>
          <w:rFonts w:hint="eastAsia" w:cs="仿宋_GB2312" w:asciiTheme="minorEastAsia" w:hAnsiTheme="minorEastAsia" w:eastAsiaTheme="minorEastAsia"/>
          <w:sz w:val="32"/>
          <w:szCs w:val="32"/>
        </w:rPr>
        <w:t>本院2021年度行政事业性国有资产年报资产数据完整、准确，与部门决算数据保持一致，并且做到资产账与财务账、资产实体相符。根据评分规则，该指标2分，得2分，得分率为100%。</w:t>
      </w:r>
    </w:p>
    <w:p>
      <w:pPr>
        <w:numPr>
          <w:ilvl w:val="0"/>
          <w:numId w:val="6"/>
        </w:numPr>
        <w:snapToGrid w:val="0"/>
        <w:spacing w:line="360" w:lineRule="auto"/>
        <w:ind w:left="630"/>
        <w:rPr>
          <w:rFonts w:ascii="仿宋_GB2312" w:hAnsi="黑体" w:eastAsia="仿宋_GB2312" w:cs="仿宋_GB2312"/>
          <w:sz w:val="32"/>
          <w:szCs w:val="32"/>
        </w:rPr>
      </w:pPr>
      <w:r>
        <w:rPr>
          <w:rFonts w:hint="eastAsia" w:ascii="仿宋_GB2312" w:hAnsi="黑体" w:eastAsia="仿宋_GB2312" w:cs="仿宋_GB2312"/>
          <w:sz w:val="32"/>
          <w:szCs w:val="32"/>
        </w:rPr>
        <w:t>资产管理合规性。</w:t>
      </w:r>
    </w:p>
    <w:p>
      <w:pPr>
        <w:snapToGrid w:val="0"/>
        <w:spacing w:line="360" w:lineRule="auto"/>
        <w:ind w:left="64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该项指标反映部门（单位）资产管理是否合规。</w:t>
      </w:r>
    </w:p>
    <w:p>
      <w:pPr>
        <w:snapToGrid w:val="0"/>
        <w:spacing w:line="360" w:lineRule="auto"/>
        <w:ind w:firstLine="64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本院根据《行政单位国有资产管理暂行办法》，结合自身实际情况，制定了《新会区人民检察院财务管理制度》相关固定资产管理规定。同时，严格执行出租、出借、处置国有资产的相关规定，按规范处理。在各类巡视、审计、监督检查工作中均未发现资产管理存在问题。根据评分规则，该指标2分，得2分，得分率为100%。</w:t>
      </w:r>
    </w:p>
    <w:p>
      <w:pPr>
        <w:numPr>
          <w:ilvl w:val="0"/>
          <w:numId w:val="6"/>
        </w:numPr>
        <w:snapToGrid w:val="0"/>
        <w:spacing w:line="360" w:lineRule="auto"/>
        <w:ind w:left="630"/>
        <w:rPr>
          <w:rFonts w:ascii="仿宋_GB2312" w:hAnsi="黑体" w:eastAsia="仿宋_GB2312" w:cs="仿宋_GB2312"/>
          <w:sz w:val="32"/>
          <w:szCs w:val="32"/>
        </w:rPr>
      </w:pPr>
      <w:r>
        <w:rPr>
          <w:rFonts w:hint="eastAsia" w:ascii="仿宋_GB2312" w:hAnsi="黑体" w:eastAsia="仿宋_GB2312" w:cs="仿宋_GB2312"/>
          <w:sz w:val="32"/>
          <w:szCs w:val="32"/>
        </w:rPr>
        <w:t>固定资产利用率。</w:t>
      </w:r>
    </w:p>
    <w:p>
      <w:pPr>
        <w:snapToGrid w:val="0"/>
        <w:spacing w:line="360" w:lineRule="auto"/>
        <w:ind w:left="64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该项指标反映部门（单位）固定资产的使用情况。</w:t>
      </w:r>
    </w:p>
    <w:p>
      <w:pPr>
        <w:snapToGrid w:val="0"/>
        <w:spacing w:line="360" w:lineRule="auto"/>
        <w:ind w:firstLine="640"/>
        <w:rPr>
          <w:rFonts w:ascii="仿宋_GB2312" w:hAnsi="黑体" w:eastAsia="仿宋_GB2312" w:cs="仿宋_GB2312"/>
          <w:sz w:val="32"/>
          <w:szCs w:val="32"/>
        </w:rPr>
      </w:pPr>
      <w:r>
        <w:rPr>
          <w:rFonts w:hint="eastAsia" w:cs="仿宋_GB2312" w:asciiTheme="minorEastAsia" w:hAnsiTheme="minorEastAsia" w:eastAsiaTheme="minorEastAsia"/>
          <w:sz w:val="32"/>
          <w:szCs w:val="32"/>
        </w:rPr>
        <w:t>本院实际在用固定资产总数与所有固定资产总数的比例为100%。根据省财政厅提供的数据和评分规则，该指标2分，得2分，得分率为100%。</w:t>
      </w:r>
    </w:p>
    <w:p>
      <w:pPr>
        <w:numPr>
          <w:ilvl w:val="0"/>
          <w:numId w:val="1"/>
        </w:numPr>
        <w:snapToGrid w:val="0"/>
        <w:spacing w:line="360" w:lineRule="auto"/>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运行成本。</w:t>
      </w:r>
    </w:p>
    <w:p>
      <w:pPr>
        <w:numPr>
          <w:ilvl w:val="0"/>
          <w:numId w:val="7"/>
        </w:numPr>
        <w:snapToGrid w:val="0"/>
        <w:spacing w:line="360" w:lineRule="auto"/>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经济成本控制情况。</w:t>
      </w:r>
    </w:p>
    <w:p>
      <w:pPr>
        <w:snapToGrid w:val="0"/>
        <w:spacing w:line="360" w:lineRule="auto"/>
        <w:ind w:firstLine="64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该项指标反映部门经济支出分类核算情况，包括对运转成本的控制努力程度和效果、核算精准度和合理性等。</w:t>
      </w:r>
    </w:p>
    <w:p>
      <w:pPr>
        <w:snapToGrid w:val="0"/>
        <w:spacing w:line="360" w:lineRule="auto"/>
        <w:ind w:firstLine="64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本院在2022年度预算执行过程中，严格执行“过紧日子”的要求，经过核算：</w:t>
      </w:r>
    </w:p>
    <w:p>
      <w:pPr>
        <w:widowControl/>
        <w:snapToGrid w:val="0"/>
        <w:spacing w:line="360" w:lineRule="auto"/>
        <w:ind w:firstLine="64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能耗支出58.56元/平方米，同比上升15.14%。</w:t>
      </w:r>
    </w:p>
    <w:p>
      <w:pPr>
        <w:widowControl/>
        <w:snapToGrid w:val="0"/>
        <w:spacing w:line="360" w:lineRule="auto"/>
        <w:ind w:firstLine="64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物业管理费181.22元/平方米，同比上升88.54%。</w:t>
      </w:r>
    </w:p>
    <w:p>
      <w:pPr>
        <w:widowControl/>
        <w:snapToGrid w:val="0"/>
        <w:spacing w:line="360" w:lineRule="auto"/>
        <w:ind w:firstLine="64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人均行政支出14230.47元/人，同比下降8.51%。</w:t>
      </w:r>
    </w:p>
    <w:p>
      <w:pPr>
        <w:widowControl/>
        <w:snapToGrid w:val="0"/>
        <w:spacing w:line="360" w:lineRule="auto"/>
        <w:ind w:firstLine="64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人均业务活动支出2808.95元/人，同比下降1.43%。</w:t>
      </w:r>
    </w:p>
    <w:p>
      <w:pPr>
        <w:widowControl/>
        <w:snapToGrid w:val="0"/>
        <w:spacing w:line="360" w:lineRule="auto"/>
        <w:ind w:firstLine="64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人均外勤支出11745.35元/人，同比上升0.60%。</w:t>
      </w:r>
    </w:p>
    <w:p>
      <w:pPr>
        <w:snapToGrid w:val="0"/>
        <w:spacing w:line="360" w:lineRule="auto"/>
        <w:ind w:firstLine="64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人均公用经费支出77271元/人，同比上升13.69%。</w:t>
      </w:r>
    </w:p>
    <w:p>
      <w:pPr>
        <w:snapToGrid w:val="0"/>
        <w:spacing w:line="360" w:lineRule="auto"/>
        <w:ind w:firstLine="640"/>
        <w:rPr>
          <w:rFonts w:ascii="仿宋_GB2312" w:hAnsi="仿宋_GB2312" w:eastAsia="仿宋_GB2312" w:cs="仿宋_GB2312"/>
          <w:sz w:val="32"/>
          <w:szCs w:val="32"/>
        </w:rPr>
      </w:pPr>
      <w:r>
        <w:rPr>
          <w:rFonts w:hint="eastAsia" w:cs="仿宋_GB2312" w:asciiTheme="minorEastAsia" w:hAnsiTheme="minorEastAsia" w:eastAsiaTheme="minorEastAsia"/>
          <w:sz w:val="32"/>
          <w:szCs w:val="32"/>
        </w:rPr>
        <w:t>根据部门经济成本分析自评表和评分规则，该指标2分，得1.4分，得分率为70%。</w:t>
      </w:r>
    </w:p>
    <w:p>
      <w:pPr>
        <w:numPr>
          <w:ilvl w:val="0"/>
          <w:numId w:val="7"/>
        </w:numPr>
        <w:snapToGrid w:val="0"/>
        <w:spacing w:line="360" w:lineRule="auto"/>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“三公”经费控制情况。</w:t>
      </w:r>
    </w:p>
    <w:p>
      <w:pPr>
        <w:snapToGrid w:val="0"/>
        <w:spacing w:line="360" w:lineRule="auto"/>
        <w:rPr>
          <w:rFonts w:cs="仿宋_GB2312" w:asciiTheme="minorEastAsia" w:hAnsiTheme="minorEastAsia" w:eastAsiaTheme="minorEastAsia"/>
          <w:sz w:val="32"/>
          <w:szCs w:val="32"/>
        </w:rPr>
      </w:pPr>
      <w:r>
        <w:rPr>
          <w:rFonts w:hint="eastAsia" w:ascii="仿宋_GB2312" w:hAnsi="仿宋_GB2312" w:eastAsia="仿宋_GB2312" w:cs="仿宋_GB2312"/>
          <w:sz w:val="32"/>
          <w:szCs w:val="32"/>
        </w:rPr>
        <w:t xml:space="preserve">    </w:t>
      </w:r>
      <w:r>
        <w:rPr>
          <w:rFonts w:hint="eastAsia" w:cs="仿宋_GB2312" w:asciiTheme="minorEastAsia" w:hAnsiTheme="minorEastAsia" w:eastAsiaTheme="minorEastAsia"/>
          <w:sz w:val="32"/>
          <w:szCs w:val="32"/>
        </w:rPr>
        <w:t>该指标反映部门（单位）对“三公”经费的控制效果。“三公”经费实际支出数≤预算安排的“三公”经费数，符合要求的得满分，不符合要求的不得分。</w:t>
      </w:r>
    </w:p>
    <w:p>
      <w:pPr>
        <w:snapToGrid w:val="0"/>
        <w:spacing w:line="360" w:lineRule="auto"/>
        <w:ind w:firstLine="640"/>
        <w:rPr>
          <w:rFonts w:ascii="仿宋_GB2312" w:hAnsi="仿宋_GB2312" w:eastAsia="仿宋_GB2312" w:cs="仿宋_GB2312"/>
          <w:sz w:val="32"/>
          <w:szCs w:val="32"/>
        </w:rPr>
      </w:pPr>
      <w:r>
        <w:rPr>
          <w:rFonts w:hint="eastAsia" w:cs="仿宋_GB2312" w:asciiTheme="minorEastAsia" w:hAnsiTheme="minorEastAsia" w:eastAsiaTheme="minorEastAsia"/>
          <w:sz w:val="32"/>
          <w:szCs w:val="32"/>
        </w:rPr>
        <w:t>本院2022年度“三公”经费财政拨款支出决算为29.35万元，预算71.78万元。其中：因公出国（境）费支出决算为0万元，预算0万元 ；公务用车购置及运行费支出决算为27.39万元，预算64.78万元（其中：公务用车购置支出决算为0万元，预算12.78万元；公务用车运行费支出决算为27.39万元，预算52万元）；公务接待费支出决算为1.97万元，预算7万元。“三公”经费实际支出数均小于预算安排数。根据评分规则，该指标1分，得1分，得分率为100%。</w:t>
      </w:r>
    </w:p>
    <w:p>
      <w:pPr>
        <w:snapToGri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（四）部门整体支出绩效管理存在问题</w:t>
      </w:r>
    </w:p>
    <w:p>
      <w:pPr>
        <w:topLinePunct/>
        <w:spacing w:line="360" w:lineRule="auto"/>
        <w:ind w:firstLine="643" w:firstLineChars="200"/>
        <w:rPr>
          <w:rFonts w:ascii="仿宋_GB2312" w:hAnsi="黑体" w:eastAsia="仿宋_GB2312" w:cs="仿宋_GB2312"/>
          <w:b/>
          <w:bCs/>
          <w:sz w:val="32"/>
          <w:szCs w:val="32"/>
        </w:rPr>
      </w:pPr>
      <w:r>
        <w:rPr>
          <w:rFonts w:hint="eastAsia" w:ascii="仿宋_GB2312" w:hAnsi="黑体" w:eastAsia="仿宋_GB2312" w:cs="仿宋_GB2312"/>
          <w:b/>
          <w:bCs/>
          <w:sz w:val="32"/>
          <w:szCs w:val="32"/>
        </w:rPr>
        <w:t>1、绩效目标指标值设置不够细化。</w:t>
      </w:r>
    </w:p>
    <w:p>
      <w:pPr>
        <w:topLinePunct/>
        <w:spacing w:line="360" w:lineRule="auto"/>
        <w:ind w:firstLine="640" w:firstLineChars="2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预算绩效目标指标值设置不够清晰、细化。本院设置的产出指标及效益指标中，预算绩效目标申报的指标目标值不够清晰、细化，有待调整优化相关绩效指标。</w:t>
      </w:r>
    </w:p>
    <w:p>
      <w:pPr>
        <w:snapToGrid w:val="0"/>
        <w:spacing w:line="360" w:lineRule="auto"/>
        <w:ind w:firstLine="643" w:firstLineChars="200"/>
        <w:rPr>
          <w:rFonts w:ascii="仿宋_GB2312" w:hAnsi="黑体" w:eastAsia="仿宋_GB2312" w:cs="仿宋_GB2312"/>
          <w:sz w:val="32"/>
          <w:szCs w:val="32"/>
        </w:rPr>
      </w:pPr>
      <w:r>
        <w:rPr>
          <w:rFonts w:hint="eastAsia" w:ascii="仿宋_GB2312" w:hAnsi="黑体" w:eastAsia="仿宋_GB2312" w:cs="仿宋_GB2312"/>
          <w:b/>
          <w:bCs/>
          <w:sz w:val="32"/>
          <w:szCs w:val="32"/>
        </w:rPr>
        <w:t>2、预算执行情况不够理想。</w:t>
      </w:r>
    </w:p>
    <w:p>
      <w:pPr>
        <w:snapToGrid w:val="0"/>
        <w:spacing w:line="360" w:lineRule="auto"/>
        <w:ind w:firstLine="640" w:firstLineChars="2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一是本院2</w:t>
      </w:r>
      <w:r>
        <w:rPr>
          <w:rFonts w:cs="仿宋_GB2312" w:asciiTheme="minorEastAsia" w:hAnsiTheme="minorEastAsia" w:eastAsiaTheme="minorEastAsia"/>
          <w:sz w:val="32"/>
          <w:szCs w:val="32"/>
        </w:rPr>
        <w:t>0</w:t>
      </w:r>
      <w:r>
        <w:rPr>
          <w:rFonts w:hint="eastAsia" w:cs="仿宋_GB2312" w:asciiTheme="minorEastAsia" w:hAnsiTheme="minorEastAsia" w:eastAsiaTheme="minorEastAsia"/>
          <w:sz w:val="32"/>
          <w:szCs w:val="32"/>
        </w:rPr>
        <w:t>22年预算资金支出率为88.66</w:t>
      </w:r>
      <w:r>
        <w:rPr>
          <w:rFonts w:cs="仿宋_GB2312" w:asciiTheme="minorEastAsia" w:hAnsiTheme="minorEastAsia" w:eastAsiaTheme="minorEastAsia"/>
          <w:sz w:val="32"/>
          <w:szCs w:val="32"/>
        </w:rPr>
        <w:t>%</w:t>
      </w:r>
      <w:r>
        <w:rPr>
          <w:rFonts w:hint="eastAsia" w:cs="仿宋_GB2312" w:asciiTheme="minorEastAsia" w:hAnsiTheme="minorEastAsia" w:eastAsiaTheme="minorEastAsia"/>
          <w:sz w:val="32"/>
          <w:szCs w:val="32"/>
        </w:rPr>
        <w:t>，部门预算资金支出进度有待提高。二是2</w:t>
      </w:r>
      <w:r>
        <w:rPr>
          <w:rFonts w:cs="仿宋_GB2312" w:asciiTheme="minorEastAsia" w:hAnsiTheme="minorEastAsia" w:eastAsiaTheme="minorEastAsia"/>
          <w:sz w:val="32"/>
          <w:szCs w:val="32"/>
        </w:rPr>
        <w:t>0</w:t>
      </w:r>
      <w:r>
        <w:rPr>
          <w:rFonts w:hint="eastAsia" w:cs="仿宋_GB2312" w:asciiTheme="minorEastAsia" w:hAnsiTheme="minorEastAsia" w:eastAsiaTheme="minorEastAsia"/>
          <w:sz w:val="32"/>
          <w:szCs w:val="32"/>
        </w:rPr>
        <w:t>22年收入总计4371.41万元，当年度财政拨款结转和结余决算数为495.93万元，部门财政存量资金占比率为11.34%，当年度结转结余率较高。</w:t>
      </w:r>
    </w:p>
    <w:p>
      <w:pPr>
        <w:snapToGrid w:val="0"/>
        <w:spacing w:line="360" w:lineRule="auto"/>
        <w:ind w:firstLine="643" w:firstLineChars="200"/>
        <w:rPr>
          <w:rFonts w:ascii="仿宋_GB2312" w:hAnsi="黑体" w:eastAsia="仿宋_GB2312" w:cs="仿宋_GB2312"/>
          <w:b/>
          <w:bCs/>
          <w:sz w:val="32"/>
          <w:szCs w:val="32"/>
        </w:rPr>
      </w:pPr>
      <w:r>
        <w:rPr>
          <w:rFonts w:hint="eastAsia" w:ascii="仿宋_GB2312" w:hAnsi="黑体" w:eastAsia="仿宋_GB2312" w:cs="仿宋_GB2312"/>
          <w:b/>
          <w:bCs/>
          <w:sz w:val="32"/>
          <w:szCs w:val="32"/>
        </w:rPr>
        <w:t>3.资产管理工作需进一步加强。</w:t>
      </w:r>
    </w:p>
    <w:p>
      <w:pPr>
        <w:snapToGrid w:val="0"/>
        <w:spacing w:line="360" w:lineRule="auto"/>
        <w:ind w:firstLine="640" w:firstLineChars="2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本院现已按规定做到“定期或不定期开展固定资产监督检查，每年至少组织一次全面检查”，但是对各部门资产管理工作的监控还不够，还要加强对各部门资产管理工作的统筹与监控。</w:t>
      </w:r>
    </w:p>
    <w:p>
      <w:pPr>
        <w:numPr>
          <w:ilvl w:val="0"/>
          <w:numId w:val="8"/>
        </w:numPr>
        <w:snapToGrid w:val="0"/>
        <w:spacing w:line="360" w:lineRule="auto"/>
        <w:ind w:firstLine="643" w:firstLineChars="200"/>
        <w:rPr>
          <w:rFonts w:ascii="仿宋_GB2312" w:hAnsi="黑体" w:eastAsia="仿宋_GB2312" w:cs="仿宋_GB2312"/>
          <w:b/>
          <w:bCs/>
          <w:sz w:val="32"/>
          <w:szCs w:val="32"/>
        </w:rPr>
      </w:pPr>
      <w:r>
        <w:rPr>
          <w:rFonts w:hint="eastAsia" w:ascii="楷体_GB2312" w:hAnsi="楷体_GB2312" w:eastAsia="楷体_GB2312" w:cs="楷体_GB2312"/>
          <w:b/>
          <w:bCs/>
          <w:sz w:val="32"/>
          <w:szCs w:val="32"/>
        </w:rPr>
        <w:t>改进措施</w:t>
      </w:r>
    </w:p>
    <w:p>
      <w:pPr>
        <w:topLinePunct/>
        <w:spacing w:line="360" w:lineRule="auto"/>
        <w:ind w:firstLine="643" w:firstLineChars="200"/>
        <w:rPr>
          <w:rFonts w:ascii="仿宋_GB2312" w:hAnsi="黑体" w:eastAsia="仿宋_GB2312" w:cs="仿宋_GB2312"/>
          <w:b/>
          <w:bCs/>
          <w:sz w:val="32"/>
          <w:szCs w:val="32"/>
        </w:rPr>
      </w:pPr>
      <w:bookmarkStart w:id="1" w:name="_Toc44436858"/>
      <w:r>
        <w:rPr>
          <w:rFonts w:hint="eastAsia" w:ascii="仿宋_GB2312" w:hAnsi="黑体" w:eastAsia="仿宋_GB2312" w:cs="仿宋_GB2312"/>
          <w:b/>
          <w:bCs/>
          <w:sz w:val="32"/>
          <w:szCs w:val="32"/>
        </w:rPr>
        <w:t>1、完善构建绩效目标体系</w:t>
      </w:r>
      <w:bookmarkEnd w:id="1"/>
      <w:r>
        <w:rPr>
          <w:rFonts w:hint="eastAsia" w:ascii="仿宋_GB2312" w:hAnsi="黑体" w:eastAsia="仿宋_GB2312" w:cs="仿宋_GB2312"/>
          <w:b/>
          <w:bCs/>
          <w:sz w:val="32"/>
          <w:szCs w:val="32"/>
        </w:rPr>
        <w:t>。</w:t>
      </w:r>
    </w:p>
    <w:p>
      <w:pPr>
        <w:topLinePunct/>
        <w:spacing w:line="360" w:lineRule="auto"/>
        <w:ind w:firstLine="640" w:firstLineChars="2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提高绩效目标的客观性与可衡量性。各部门共同参与部门整体支出绩效目标体系建设工作，使绩效目标充分反映各业务部门与综合保障部门的履职效率与效果，从而提高绩效管理的可操作性与可比性。</w:t>
      </w:r>
    </w:p>
    <w:p>
      <w:pPr>
        <w:topLinePunct/>
        <w:spacing w:line="360" w:lineRule="auto"/>
        <w:ind w:firstLine="643" w:firstLineChars="200"/>
        <w:rPr>
          <w:rFonts w:ascii="仿宋_GB2312" w:hAnsi="黑体" w:eastAsia="仿宋_GB2312" w:cs="仿宋_GB2312"/>
          <w:b/>
          <w:bCs/>
          <w:sz w:val="32"/>
          <w:szCs w:val="32"/>
        </w:rPr>
      </w:pPr>
      <w:r>
        <w:rPr>
          <w:rFonts w:hint="eastAsia" w:ascii="仿宋_GB2312" w:hAnsi="黑体" w:eastAsia="仿宋_GB2312" w:cs="仿宋_GB2312"/>
          <w:b/>
          <w:bCs/>
          <w:sz w:val="32"/>
          <w:szCs w:val="32"/>
        </w:rPr>
        <w:t>2、落实部门支出的各项管理制度，提高部门预算执行管理的规范性。</w:t>
      </w:r>
    </w:p>
    <w:p>
      <w:pPr>
        <w:topLinePunct/>
        <w:spacing w:line="360" w:lineRule="auto"/>
        <w:ind w:firstLine="640" w:firstLineChars="2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一是预算执行过程中，有效控制资金支出的序时进度，提高财政资金使用效益。对预算执行缓慢或超出结转结余时限的项目，及时做相应调整。二是加强资金管理，强化部门内部绩效目标运行监控机制，做好内部职能部门之间协调，积极推进项目进度，提高预算支出效率，降低结转结余率。</w:t>
      </w:r>
    </w:p>
    <w:p>
      <w:pPr>
        <w:topLinePunct/>
        <w:spacing w:line="360" w:lineRule="auto"/>
        <w:ind w:firstLine="643" w:firstLineChars="200"/>
        <w:rPr>
          <w:rFonts w:ascii="仿宋_GB2312" w:hAnsi="黑体" w:eastAsia="仿宋_GB2312" w:cs="仿宋_GB2312"/>
          <w:b/>
          <w:bCs/>
          <w:sz w:val="32"/>
          <w:szCs w:val="32"/>
        </w:rPr>
      </w:pPr>
      <w:bookmarkStart w:id="2" w:name="_Toc44436859"/>
      <w:r>
        <w:rPr>
          <w:rFonts w:hint="eastAsia" w:ascii="仿宋_GB2312" w:hAnsi="黑体" w:eastAsia="仿宋_GB2312" w:cs="仿宋_GB2312"/>
          <w:b/>
          <w:bCs/>
          <w:sz w:val="32"/>
          <w:szCs w:val="32"/>
        </w:rPr>
        <w:t>3、建立健全内控管理制度</w:t>
      </w:r>
      <w:bookmarkEnd w:id="2"/>
      <w:r>
        <w:rPr>
          <w:rFonts w:hint="eastAsia" w:ascii="仿宋_GB2312" w:hAnsi="黑体" w:eastAsia="仿宋_GB2312" w:cs="仿宋_GB2312"/>
          <w:b/>
          <w:bCs/>
          <w:sz w:val="32"/>
          <w:szCs w:val="32"/>
        </w:rPr>
        <w:t>。</w:t>
      </w:r>
    </w:p>
    <w:p>
      <w:pPr>
        <w:topLinePunct/>
        <w:spacing w:line="360" w:lineRule="auto"/>
        <w:ind w:firstLine="640" w:firstLineChars="2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健全内控管理工作规程，强化事中监控。在全院层面建立统筹的内控管理工作规程，明确常态化监督检查工作流程及过程材料，加强相关信息复核力度，促使各责任部门相互监督、相关预警，确保各系统、各报表间相同信息数据的一致性。</w:t>
      </w:r>
    </w:p>
    <w:p>
      <w:pPr>
        <w:topLinePunct/>
        <w:spacing w:line="360" w:lineRule="auto"/>
        <w:ind w:firstLine="643" w:firstLineChars="200"/>
        <w:rPr>
          <w:rFonts w:ascii="仿宋_GB2312" w:hAnsi="黑体" w:eastAsia="仿宋_GB2312" w:cs="仿宋_GB2312"/>
          <w:b/>
          <w:bCs/>
          <w:sz w:val="32"/>
          <w:szCs w:val="32"/>
        </w:rPr>
      </w:pPr>
      <w:bookmarkStart w:id="3" w:name="_Toc44436860"/>
      <w:r>
        <w:rPr>
          <w:rFonts w:hint="eastAsia" w:ascii="仿宋_GB2312" w:hAnsi="黑体" w:eastAsia="仿宋_GB2312" w:cs="仿宋_GB2312"/>
          <w:b/>
          <w:bCs/>
          <w:sz w:val="32"/>
          <w:szCs w:val="32"/>
        </w:rPr>
        <w:t>4、加强资产管理，提升制度执行力度</w:t>
      </w:r>
      <w:bookmarkEnd w:id="3"/>
      <w:r>
        <w:rPr>
          <w:rFonts w:hint="eastAsia" w:ascii="仿宋_GB2312" w:hAnsi="黑体" w:eastAsia="仿宋_GB2312" w:cs="仿宋_GB2312"/>
          <w:b/>
          <w:bCs/>
          <w:sz w:val="32"/>
          <w:szCs w:val="32"/>
        </w:rPr>
        <w:t>。</w:t>
      </w:r>
    </w:p>
    <w:p>
      <w:pPr>
        <w:topLinePunct/>
        <w:spacing w:line="360" w:lineRule="auto"/>
        <w:ind w:firstLine="640" w:firstLineChars="2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强化对各部门资产管理工作的统筹与监控。建立完善各资产使用部门与资产管理部门之间的协同工作机制，督促各部门建立健全固定资产台账，明确各资产使用部门与资产部门间常态化监督检查工作流程及过程材料。</w:t>
      </w:r>
    </w:p>
    <w:p>
      <w:pPr>
        <w:widowControl/>
        <w:spacing w:line="560" w:lineRule="exact"/>
        <w:ind w:firstLine="640" w:firstLineChars="200"/>
        <w:jc w:val="left"/>
        <w:rPr>
          <w:rFonts w:ascii="仿宋_GB2312" w:hAnsi="仿宋_GB2312" w:eastAsia="仿宋_GB2312" w:cs="仿宋_GB2312"/>
          <w:color w:val="00000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简体">
    <w:altName w:val="微软雅黑"/>
    <w:panose1 w:val="00000000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7ED9B5"/>
    <w:multiLevelType w:val="singleLevel"/>
    <w:tmpl w:val="967ED9B5"/>
    <w:lvl w:ilvl="0" w:tentative="0">
      <w:start w:val="2"/>
      <w:numFmt w:val="decimal"/>
      <w:suff w:val="nothing"/>
      <w:lvlText w:val="%1、"/>
      <w:lvlJc w:val="left"/>
    </w:lvl>
  </w:abstractNum>
  <w:abstractNum w:abstractNumId="1">
    <w:nsid w:val="A0B54CAE"/>
    <w:multiLevelType w:val="singleLevel"/>
    <w:tmpl w:val="A0B54CAE"/>
    <w:lvl w:ilvl="0" w:tentative="0">
      <w:start w:val="1"/>
      <w:numFmt w:val="decimal"/>
      <w:suff w:val="nothing"/>
      <w:lvlText w:val="（%1）"/>
      <w:lvlJc w:val="left"/>
    </w:lvl>
  </w:abstractNum>
  <w:abstractNum w:abstractNumId="2">
    <w:nsid w:val="A2702734"/>
    <w:multiLevelType w:val="singleLevel"/>
    <w:tmpl w:val="A2702734"/>
    <w:lvl w:ilvl="0" w:tentative="0">
      <w:start w:val="1"/>
      <w:numFmt w:val="decimal"/>
      <w:suff w:val="nothing"/>
      <w:lvlText w:val="（%1）"/>
      <w:lvlJc w:val="left"/>
    </w:lvl>
  </w:abstractNum>
  <w:abstractNum w:abstractNumId="3">
    <w:nsid w:val="D19B7A65"/>
    <w:multiLevelType w:val="singleLevel"/>
    <w:tmpl w:val="D19B7A65"/>
    <w:lvl w:ilvl="0" w:tentative="0">
      <w:start w:val="1"/>
      <w:numFmt w:val="decimal"/>
      <w:suff w:val="nothing"/>
      <w:lvlText w:val="（%1）"/>
      <w:lvlJc w:val="left"/>
      <w:pPr>
        <w:ind w:left="-10"/>
      </w:pPr>
    </w:lvl>
  </w:abstractNum>
  <w:abstractNum w:abstractNumId="4">
    <w:nsid w:val="E2028188"/>
    <w:multiLevelType w:val="singleLevel"/>
    <w:tmpl w:val="E2028188"/>
    <w:lvl w:ilvl="0" w:tentative="0">
      <w:start w:val="2"/>
      <w:numFmt w:val="chineseCounting"/>
      <w:suff w:val="nothing"/>
      <w:lvlText w:val="（%1）"/>
      <w:lvlJc w:val="left"/>
      <w:rPr>
        <w:rFonts w:hint="eastAsia"/>
      </w:rPr>
    </w:lvl>
  </w:abstractNum>
  <w:abstractNum w:abstractNumId="5">
    <w:nsid w:val="E6EA250E"/>
    <w:multiLevelType w:val="singleLevel"/>
    <w:tmpl w:val="E6EA250E"/>
    <w:lvl w:ilvl="0" w:tentative="0">
      <w:start w:val="1"/>
      <w:numFmt w:val="decimal"/>
      <w:suff w:val="nothing"/>
      <w:lvlText w:val="（%1）"/>
      <w:lvlJc w:val="left"/>
    </w:lvl>
  </w:abstractNum>
  <w:abstractNum w:abstractNumId="6">
    <w:nsid w:val="08F77351"/>
    <w:multiLevelType w:val="singleLevel"/>
    <w:tmpl w:val="08F77351"/>
    <w:lvl w:ilvl="0" w:tentative="0">
      <w:start w:val="1"/>
      <w:numFmt w:val="decimal"/>
      <w:suff w:val="nothing"/>
      <w:lvlText w:val="（%1）"/>
      <w:lvlJc w:val="left"/>
      <w:pPr>
        <w:ind w:left="640" w:firstLine="0"/>
      </w:pPr>
    </w:lvl>
  </w:abstractNum>
  <w:abstractNum w:abstractNumId="7">
    <w:nsid w:val="731803FC"/>
    <w:multiLevelType w:val="singleLevel"/>
    <w:tmpl w:val="731803FC"/>
    <w:lvl w:ilvl="0" w:tentative="0">
      <w:start w:val="1"/>
      <w:numFmt w:val="decimal"/>
      <w:suff w:val="nothing"/>
      <w:lvlText w:val="（%1）"/>
      <w:lvlJc w:val="left"/>
    </w:lvl>
  </w:abstractNum>
  <w:num w:numId="1">
    <w:abstractNumId w:val="0"/>
  </w:num>
  <w:num w:numId="2">
    <w:abstractNumId w:val="6"/>
  </w:num>
  <w:num w:numId="3">
    <w:abstractNumId w:val="2"/>
  </w:num>
  <w:num w:numId="4">
    <w:abstractNumId w:val="5"/>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U3MTE4ZTc4MTNmYmZjYTNlNWQyZjEzYjk3NDIxYzEifQ=="/>
  </w:docVars>
  <w:rsids>
    <w:rsidRoot w:val="00055EA6"/>
    <w:rsid w:val="000309EB"/>
    <w:rsid w:val="00055EA6"/>
    <w:rsid w:val="00073C0F"/>
    <w:rsid w:val="000B10DE"/>
    <w:rsid w:val="000E3990"/>
    <w:rsid w:val="000F466A"/>
    <w:rsid w:val="000F6C87"/>
    <w:rsid w:val="0018168F"/>
    <w:rsid w:val="001C4850"/>
    <w:rsid w:val="00210EA9"/>
    <w:rsid w:val="00242D13"/>
    <w:rsid w:val="00265B86"/>
    <w:rsid w:val="002D3681"/>
    <w:rsid w:val="002D3F2F"/>
    <w:rsid w:val="002E724B"/>
    <w:rsid w:val="002F0D6B"/>
    <w:rsid w:val="002F2927"/>
    <w:rsid w:val="003170FF"/>
    <w:rsid w:val="00335A32"/>
    <w:rsid w:val="00361D05"/>
    <w:rsid w:val="00382EED"/>
    <w:rsid w:val="003F119F"/>
    <w:rsid w:val="00401A36"/>
    <w:rsid w:val="004346E6"/>
    <w:rsid w:val="00454C00"/>
    <w:rsid w:val="00474B04"/>
    <w:rsid w:val="00480CA0"/>
    <w:rsid w:val="004824C0"/>
    <w:rsid w:val="004B61FB"/>
    <w:rsid w:val="004C50ED"/>
    <w:rsid w:val="004C66F5"/>
    <w:rsid w:val="004D4198"/>
    <w:rsid w:val="00503995"/>
    <w:rsid w:val="00511AF6"/>
    <w:rsid w:val="005151FA"/>
    <w:rsid w:val="00540908"/>
    <w:rsid w:val="005524D7"/>
    <w:rsid w:val="00553A9F"/>
    <w:rsid w:val="005705CB"/>
    <w:rsid w:val="005B6D08"/>
    <w:rsid w:val="005F6AFE"/>
    <w:rsid w:val="00605A29"/>
    <w:rsid w:val="00656D4D"/>
    <w:rsid w:val="006717A8"/>
    <w:rsid w:val="00671E6C"/>
    <w:rsid w:val="006741D0"/>
    <w:rsid w:val="006851EC"/>
    <w:rsid w:val="006B26A3"/>
    <w:rsid w:val="006E2204"/>
    <w:rsid w:val="006F42FF"/>
    <w:rsid w:val="0073221B"/>
    <w:rsid w:val="007365DC"/>
    <w:rsid w:val="0074522D"/>
    <w:rsid w:val="00745379"/>
    <w:rsid w:val="007D27A3"/>
    <w:rsid w:val="007E0065"/>
    <w:rsid w:val="007F0460"/>
    <w:rsid w:val="007F4B9A"/>
    <w:rsid w:val="007F4E24"/>
    <w:rsid w:val="008812DB"/>
    <w:rsid w:val="008920CA"/>
    <w:rsid w:val="008B7025"/>
    <w:rsid w:val="008D2976"/>
    <w:rsid w:val="008D4267"/>
    <w:rsid w:val="008E34B6"/>
    <w:rsid w:val="008F2CE6"/>
    <w:rsid w:val="008F6DC4"/>
    <w:rsid w:val="0090572C"/>
    <w:rsid w:val="00912BF5"/>
    <w:rsid w:val="00913626"/>
    <w:rsid w:val="00962BCB"/>
    <w:rsid w:val="009B1E37"/>
    <w:rsid w:val="009E4742"/>
    <w:rsid w:val="009F7BD1"/>
    <w:rsid w:val="00A03091"/>
    <w:rsid w:val="00A21EA2"/>
    <w:rsid w:val="00A53B09"/>
    <w:rsid w:val="00A65D7C"/>
    <w:rsid w:val="00A74A72"/>
    <w:rsid w:val="00A842F4"/>
    <w:rsid w:val="00AE593A"/>
    <w:rsid w:val="00B52B8F"/>
    <w:rsid w:val="00B62F39"/>
    <w:rsid w:val="00B811ED"/>
    <w:rsid w:val="00BB764C"/>
    <w:rsid w:val="00BE2B57"/>
    <w:rsid w:val="00C51D5F"/>
    <w:rsid w:val="00CC7C77"/>
    <w:rsid w:val="00D15F80"/>
    <w:rsid w:val="00D2519E"/>
    <w:rsid w:val="00D92B89"/>
    <w:rsid w:val="00DC2A06"/>
    <w:rsid w:val="00DD2B39"/>
    <w:rsid w:val="00DF74DC"/>
    <w:rsid w:val="00E13EEA"/>
    <w:rsid w:val="00E15FCF"/>
    <w:rsid w:val="00E22709"/>
    <w:rsid w:val="00E527C9"/>
    <w:rsid w:val="00E71C35"/>
    <w:rsid w:val="00EC0141"/>
    <w:rsid w:val="00EC2FE3"/>
    <w:rsid w:val="00EC609D"/>
    <w:rsid w:val="00EE0D7B"/>
    <w:rsid w:val="00EE0EE5"/>
    <w:rsid w:val="00EE47F3"/>
    <w:rsid w:val="00F535CB"/>
    <w:rsid w:val="00F626E9"/>
    <w:rsid w:val="00F97AFA"/>
    <w:rsid w:val="00FA6B6F"/>
    <w:rsid w:val="00FA7361"/>
    <w:rsid w:val="00FD71CE"/>
    <w:rsid w:val="070B4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方正仿宋简体"/>
      <w:sz w:val="32"/>
      <w:szCs w:val="24"/>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_Style 1"/>
    <w:basedOn w:val="1"/>
    <w:uiPriority w:val="0"/>
    <w:pPr>
      <w:widowControl/>
      <w:adjustRightInd w:val="0"/>
      <w:spacing w:after="160" w:line="240" w:lineRule="exact"/>
      <w:jc w:val="left"/>
    </w:pPr>
    <w:rPr>
      <w:rFonts w:ascii="Verdana" w:hAnsi="Verdana"/>
      <w:kern w:val="0"/>
      <w:sz w:val="20"/>
      <w:szCs w:val="20"/>
      <w:lang w:eastAsia="en-US"/>
    </w:rPr>
  </w:style>
  <w:style w:type="character" w:customStyle="1" w:styleId="8">
    <w:name w:val="页眉 Char"/>
    <w:basedOn w:val="6"/>
    <w:link w:val="4"/>
    <w:semiHidden/>
    <w:uiPriority w:val="99"/>
    <w:rPr>
      <w:rFonts w:ascii="Times New Roman" w:hAnsi="Times New Roman" w:eastAsia="宋体" w:cs="Times New Roman"/>
      <w:sz w:val="18"/>
      <w:szCs w:val="18"/>
    </w:rPr>
  </w:style>
  <w:style w:type="character" w:customStyle="1" w:styleId="9">
    <w:name w:val="页脚 Char"/>
    <w:basedOn w:val="6"/>
    <w:link w:val="3"/>
    <w:semiHidden/>
    <w:uiPriority w:val="99"/>
    <w:rPr>
      <w:rFonts w:ascii="Times New Roman" w:hAnsi="Times New Roman" w:eastAsia="宋体" w:cs="Times New Roman"/>
      <w:sz w:val="18"/>
      <w:szCs w:val="18"/>
    </w:rPr>
  </w:style>
  <w:style w:type="character" w:customStyle="1" w:styleId="10">
    <w:name w:val="font01"/>
    <w:basedOn w:val="6"/>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E9101-AB3F-4DE2-933A-EC50337B6F82}">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20</Pages>
  <Words>8266</Words>
  <Characters>8855</Characters>
  <Lines>64</Lines>
  <Paragraphs>18</Paragraphs>
  <TotalTime>2</TotalTime>
  <ScaleCrop>false</ScaleCrop>
  <LinksUpToDate>false</LinksUpToDate>
  <CharactersWithSpaces>8871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2023-08-21T01:57:00Z</dcterms:created>
  <dc:creator>jcy</dc:creator>
  <cp:lastModifiedBy>大写的人</cp:lastModifiedBy>
  <cp:lastPrinted>2023-08-18T00:39:00Z</cp:lastPrinted>
  <dcterms:modified xsi:type="dcterms:W3CDTF">2023-08-21T02:15:25Z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18D798CB8707470C9F2BE24E4FBAAC2F_12</vt:lpwstr>
  </property>
</Properties>
</file>